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wmf" ContentType="image/x-wmf"/>
  <Override PartName="/word/media/image3.wmf" ContentType="image/x-wmf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i/>
          <w:i/>
          <w:iCs/>
          <w:color w:val="FFFFFF" w:themeColor="background1"/>
          <w:sz w:val="16"/>
          <w:szCs w:val="16"/>
        </w:rPr>
      </w:pPr>
      <w:r>
        <w:rPr>
          <w:i/>
          <w:iCs/>
          <w:color w:val="FFFFFF" w:themeColor="background1"/>
          <w:sz w:val="16"/>
          <w:szCs w:val="16"/>
        </w:rPr>
      </w:r>
      <w:bookmarkStart w:id="0" w:name="_Hlk116296478"/>
      <w:bookmarkStart w:id="1" w:name="_Hlk116296478"/>
      <w:bookmarkEnd w:id="1"/>
    </w:p>
    <w:p>
      <w:pPr>
        <w:pStyle w:val="Normal"/>
        <w:widowControl w:val="false"/>
        <w:suppressAutoHyphens w:val="true"/>
        <w:spacing w:lineRule="auto" w:line="240" w:before="0" w:after="0"/>
        <w:jc w:val="right"/>
        <w:rPr>
          <w:i w:val="false"/>
          <w:i w:val="false"/>
          <w:iCs w:val="false"/>
        </w:rPr>
      </w:pPr>
      <w:r>
        <w:rPr>
          <w:rFonts w:cs="Calibri" w:ascii="Times New Roman" w:hAnsi="Times New Roman" w:cstheme="minorHAnsi"/>
          <w:b w:val="false"/>
          <w:bCs w:val="false"/>
          <w:i w:val="false"/>
          <w:iCs w:val="false"/>
          <w:sz w:val="16"/>
          <w:szCs w:val="40"/>
          <w14:textOutline w14:w="9525" w14:cap="rnd" w14:cmpd="sng" w14:algn="ctr">
            <w14:noFill/>
            <w14:prstDash w14:val="solid"/>
            <w14:bevel/>
          </w14:textOutline>
        </w:rPr>
        <w:t>Za</w:t>
      </w:r>
      <w:r>
        <w:rPr>
          <w:rFonts w:ascii="Times New Roman" w:hAnsi="Times New Roman"/>
          <w:b w:val="false"/>
          <w:bCs w:val="false"/>
          <w:i w:val="false"/>
          <w:iCs w:val="false"/>
          <w:sz w:val="16"/>
        </w:rPr>
        <w:t>łącznik n</w:t>
      </w:r>
      <w:r>
        <w:rPr>
          <w:rFonts w:ascii="Times New Roman" w:hAnsi="Times New Roman"/>
          <w:i w:val="false"/>
          <w:iCs w:val="false"/>
          <w:sz w:val="16"/>
        </w:rPr>
        <w:t xml:space="preserve">r 1 do wniosku o płatność ramach </w:t>
      </w:r>
    </w:p>
    <w:p>
      <w:pPr>
        <w:pStyle w:val="Normal"/>
        <w:widowControl w:val="false"/>
        <w:suppressAutoHyphens w:val="true"/>
        <w:spacing w:lineRule="auto" w:line="240" w:before="0" w:after="0"/>
        <w:jc w:val="right"/>
        <w:rPr>
          <w:i w:val="false"/>
          <w:i w:val="false"/>
          <w:iCs w:val="false"/>
        </w:rPr>
      </w:pPr>
      <w:r>
        <w:rPr>
          <w:rFonts w:ascii="Times New Roman" w:hAnsi="Times New Roman"/>
          <w:i w:val="false"/>
          <w:iCs w:val="false"/>
          <w:sz w:val="16"/>
        </w:rPr>
        <w:t xml:space="preserve">Programu Priorytetowego „Ciepłe Mieszkanie” w Gminie Boguszów-Gorce  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Style w:val="Tabela-Siatka"/>
        <w:tblW w:w="93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05"/>
        <w:gridCol w:w="6665"/>
        <w:gridCol w:w="259"/>
      </w:tblGrid>
      <w:tr>
        <w:trPr/>
        <w:tc>
          <w:tcPr>
            <w:tcW w:w="90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18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" w:ascii="Times New Roman" w:hAnsi="Times New Roman"/>
                <w:b/>
                <w:kern w:val="0"/>
                <w:sz w:val="24"/>
                <w:szCs w:val="24"/>
                <w:lang w:val="pl-PL" w:eastAsia="en-US" w:bidi="ar-SA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Protokół odbioru prac wykonawcy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9070" w:type="dxa"/>
            <w:gridSpan w:val="2"/>
            <w:tcBorders>
              <w:top w:val="nil"/>
              <w:left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Calibri" w:ascii="Times New Roman" w:hAnsi="Times New Roman" w:cstheme="minorHAnsi"/>
                <w:b/>
                <w:kern w:val="0"/>
                <w:sz w:val="24"/>
                <w:szCs w:val="24"/>
                <w:lang w:val="pl-PL" w:eastAsia="en-US" w:bidi="ar-SA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w ramach Programu Priorytetowego „Ciepłe Mieszkanie”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Calibri" w:ascii="Times New Roman" w:hAnsi="Times New Roman" w:cstheme="minorHAnsi"/>
                <w:b/>
                <w:kern w:val="0"/>
                <w:sz w:val="24"/>
                <w:szCs w:val="24"/>
                <w:lang w:val="pl-PL" w:eastAsia="en-US" w:bidi="ar-SA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w gminie Boguszów-Gorce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Calibri" w:cs="Calibri" w:ascii="Times New Roman" w:hAnsi="Times New Roman" w:cstheme="minorHAnsi"/>
                <w:b/>
                <w:kern w:val="0"/>
                <w:sz w:val="24"/>
                <w:szCs w:val="24"/>
                <w:lang w:val="pl-PL" w:eastAsia="en-US" w:bidi="ar-SA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A. DANE OGÓLNE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/>
        <w:tc>
          <w:tcPr>
            <w:tcW w:w="24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rFonts w:eastAsia="Calibri" w:cs=""/>
                <w:kern w:val="0"/>
                <w:sz w:val="18"/>
                <w:szCs w:val="18"/>
                <w:lang w:val="pl-PL" w:eastAsia="en-US" w:bidi="ar-SA"/>
              </w:rPr>
              <w:t>Numer umowy o dofinansowanie/numer wniosku o dofinansowanie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924" w:type="dxa"/>
            <w:gridSpan w:val="2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Normal"/>
        <w:spacing w:before="0" w:after="160"/>
        <w:ind w:hanging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Style w:val="Tabela-Siatka"/>
        <w:tblW w:w="9351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405"/>
        <w:gridCol w:w="3113"/>
        <w:gridCol w:w="3833"/>
      </w:tblGrid>
      <w:tr>
        <w:trPr/>
        <w:tc>
          <w:tcPr>
            <w:tcW w:w="24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rFonts w:eastAsia="Calibri" w:cs=""/>
                <w:kern w:val="0"/>
                <w:sz w:val="18"/>
                <w:szCs w:val="18"/>
                <w:lang w:val="pl-PL" w:eastAsia="en-US" w:bidi="ar-SA"/>
              </w:rPr>
              <w:t>Data i miejsce sporządzenia protokołu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946" w:type="dxa"/>
            <w:gridSpan w:val="2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</w:p>
        </w:tc>
      </w:tr>
      <w:tr>
        <w:trPr/>
        <w:tc>
          <w:tcPr>
            <w:tcW w:w="24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rFonts w:eastAsia="Calibri" w:cs=""/>
                <w:kern w:val="0"/>
                <w:sz w:val="18"/>
                <w:szCs w:val="18"/>
                <w:lang w:val="pl-PL" w:eastAsia="en-US" w:bidi="ar-SA"/>
              </w:rPr>
              <w:t>Termin wykonania prac (wpisać datę rozpoczęcia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rFonts w:eastAsia="Calibri" w:cs=""/>
                <w:kern w:val="0"/>
                <w:sz w:val="18"/>
                <w:szCs w:val="18"/>
                <w:lang w:val="pl-PL" w:eastAsia="en-US" w:bidi="ar-SA"/>
              </w:rPr>
              <w:t xml:space="preserve"> </w:t>
            </w:r>
            <w:r>
              <w:rPr>
                <w:rFonts w:eastAsia="Calibri" w:cs=""/>
                <w:kern w:val="0"/>
                <w:sz w:val="18"/>
                <w:szCs w:val="18"/>
                <w:lang w:val="pl-PL" w:eastAsia="en-US" w:bidi="ar-SA"/>
              </w:rPr>
              <w:t>i zakończenia )</w:t>
            </w:r>
          </w:p>
        </w:tc>
        <w:tc>
          <w:tcPr>
            <w:tcW w:w="3113" w:type="dxa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/>
                <w:sz w:val="16"/>
                <w:szCs w:val="16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Data rozpoczęcia</w:t>
            </w:r>
          </w:p>
        </w:tc>
        <w:tc>
          <w:tcPr>
            <w:tcW w:w="3833" w:type="dxa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/>
                <w:sz w:val="16"/>
                <w:szCs w:val="16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Data zakończenia</w:t>
            </w:r>
          </w:p>
        </w:tc>
      </w:tr>
      <w:tr>
        <w:trPr/>
        <w:tc>
          <w:tcPr>
            <w:tcW w:w="24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rFonts w:eastAsia="Calibri" w:cs=""/>
                <w:kern w:val="0"/>
                <w:sz w:val="18"/>
                <w:szCs w:val="18"/>
                <w:lang w:val="pl-PL" w:eastAsia="en-US" w:bidi="ar-SA"/>
              </w:rPr>
              <w:t>Adres budynku/lokalu mieszkalnego w którym wykonano prace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946" w:type="dxa"/>
            <w:gridSpan w:val="2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1412" w:hRule="atLeast"/>
        </w:trPr>
        <w:tc>
          <w:tcPr>
            <w:tcW w:w="24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rFonts w:eastAsia="Calibri" w:cs=""/>
                <w:kern w:val="0"/>
                <w:sz w:val="18"/>
                <w:szCs w:val="18"/>
                <w:lang w:val="pl-PL" w:eastAsia="en-US" w:bidi="ar-SA"/>
              </w:rPr>
              <w:t>Nazwa i adres wykonawcy prac  (pieczęć firmowa wykonawcy)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946" w:type="dxa"/>
            <w:gridSpan w:val="2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2405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rFonts w:eastAsia="Calibri" w:cs=""/>
                <w:kern w:val="0"/>
                <w:sz w:val="18"/>
                <w:szCs w:val="18"/>
                <w:lang w:val="pl-PL" w:eastAsia="en-US" w:bidi="ar-SA"/>
              </w:rPr>
              <w:t>Imię i nazwisko odbiorcy prac (Beneficjenta)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6946" w:type="dxa"/>
            <w:gridSpan w:val="2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40" w:before="0" w:after="0"/>
        <w:rPr>
          <w:rFonts w:cs="Times New Roman"/>
          <w:b/>
          <w:color w:val="000000"/>
        </w:rPr>
      </w:pPr>
      <w:r>
        <w:rPr>
          <w:b/>
        </w:rPr>
        <w:t>B. ZAKRES WYKONANYCH PRAC</w:t>
      </w:r>
    </w:p>
    <w:p>
      <w:pPr>
        <w:pStyle w:val="Normal"/>
        <w:spacing w:lineRule="auto" w:line="240" w:before="0" w:after="0"/>
        <w:rPr>
          <w:rFonts w:cs="Times New Roman"/>
          <w:color w:val="000000"/>
          <w:sz w:val="16"/>
          <w:szCs w:val="16"/>
        </w:rPr>
      </w:pPr>
      <w:r>
        <w:rPr>
          <w:rFonts w:cs="Times New Roman"/>
          <w:color w:val="000000"/>
          <w:sz w:val="16"/>
          <w:szCs w:val="16"/>
        </w:rPr>
      </w:r>
    </w:p>
    <w:tbl>
      <w:tblPr>
        <w:tblStyle w:val="Tabela-Siatka"/>
        <w:tblW w:w="9322" w:type="dxa"/>
        <w:jc w:val="left"/>
        <w:tblInd w:w="7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379"/>
        <w:gridCol w:w="2942"/>
      </w:tblGrid>
      <w:tr>
        <w:trPr>
          <w:cantSplit w:val="true"/>
        </w:trPr>
        <w:tc>
          <w:tcPr>
            <w:tcW w:w="6379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pl-PL" w:eastAsia="en-US" w:bidi="ar-SA"/>
              </w:rPr>
              <w:t>Demontaż źródła ciepła</w:t>
            </w:r>
          </w:p>
        </w:tc>
        <w:tc>
          <w:tcPr>
            <w:tcW w:w="2942" w:type="dxa"/>
            <w:vMerge w:val="restart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Calibri" w:cs=""/>
                <w:b/>
                <w:kern w:val="0"/>
                <w:sz w:val="20"/>
                <w:szCs w:val="20"/>
                <w:lang w:val="pl-PL" w:eastAsia="en-US" w:bidi="ar-SA"/>
              </w:rPr>
              <w:t>Liczba wyłączonych z użytku źródeł ciepła na paliwo stałe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372" w:hRule="atLeast"/>
        </w:trPr>
        <w:tc>
          <w:tcPr>
            <w:tcW w:w="6379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0"/>
                <w:szCs w:val="20"/>
              </w:rPr>
            </w:pPr>
            <w:r>
              <w:rPr>
                <w:rFonts w:eastAsia="Calibri" w:cs=""/>
                <w:kern w:val="0"/>
                <w:sz w:val="20"/>
                <w:szCs w:val="20"/>
                <w:lang w:val="pl-PL" w:eastAsia="en-US" w:bidi="ar-SA"/>
              </w:rPr>
              <w:t>Rodzaje wyłączonych z użytku nieefektywnych źródeł ciepła na paliwo stałe (np. kominek, piec kaflowy, kocioł na węgiel, biomasę, piec wolnostojący typu koza, trzon kuchenny)</w:t>
            </w:r>
          </w:p>
        </w:tc>
        <w:tc>
          <w:tcPr>
            <w:tcW w:w="2942" w:type="dxa"/>
            <w:vMerge w:val="continue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372" w:hRule="atLeast"/>
        </w:trPr>
        <w:tc>
          <w:tcPr>
            <w:tcW w:w="6379" w:type="dxa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2942" w:type="dxa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cs="Times New Roman"/>
          <w:color w:val="000000"/>
          <w:sz w:val="16"/>
          <w:szCs w:val="16"/>
        </w:rPr>
      </w:pPr>
      <w:r>
        <w:rPr>
          <w:rFonts w:cs="Times New Roman"/>
          <w:color w:val="000000"/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Style w:val="Tabela-Siatka"/>
        <w:tblW w:w="9385" w:type="dxa"/>
        <w:jc w:val="left"/>
        <w:tblInd w:w="7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62"/>
        <w:gridCol w:w="1984"/>
        <w:gridCol w:w="2839"/>
      </w:tblGrid>
      <w:tr>
        <w:trPr>
          <w:trHeight w:val="324" w:hRule="atLeast"/>
          <w:cantSplit w:val="true"/>
        </w:trPr>
        <w:tc>
          <w:tcPr>
            <w:tcW w:w="9385" w:type="dxa"/>
            <w:gridSpan w:val="3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Zakup i montaż nowego źródła ciepła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b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372" w:hRule="atLeast"/>
        </w:trPr>
        <w:tc>
          <w:tcPr>
            <w:tcW w:w="4562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Rodzaj nowego źródła ciepła – wpisać zgodnie z kategorią kosztów kwalifikowanych</w:t>
            </w:r>
          </w:p>
        </w:tc>
        <w:tc>
          <w:tcPr>
            <w:tcW w:w="4823" w:type="dxa"/>
            <w:gridSpan w:val="2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372" w:hRule="atLeast"/>
        </w:trPr>
        <w:tc>
          <w:tcPr>
            <w:tcW w:w="4562" w:type="dxa"/>
            <w:tcBorders/>
            <w:shd w:color="auto" w:fill="FFFFFF" w:themeFill="background1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Producent</w:t>
            </w:r>
          </w:p>
        </w:tc>
        <w:tc>
          <w:tcPr>
            <w:tcW w:w="1984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Model</w:t>
            </w:r>
          </w:p>
        </w:tc>
        <w:tc>
          <w:tcPr>
            <w:tcW w:w="283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Moc</w:t>
            </w:r>
          </w:p>
        </w:tc>
      </w:tr>
      <w:tr>
        <w:trPr>
          <w:trHeight w:val="372" w:hRule="atLeast"/>
        </w:trPr>
        <w:tc>
          <w:tcPr>
            <w:tcW w:w="4562" w:type="dxa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1984" w:type="dxa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839" w:type="dxa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372" w:hRule="atLeast"/>
        </w:trPr>
        <w:tc>
          <w:tcPr>
            <w:tcW w:w="6546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83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TAK/NIE/NIE DOTYCZY</w:t>
            </w:r>
          </w:p>
        </w:tc>
      </w:tr>
      <w:tr>
        <w:trPr>
          <w:trHeight w:val="372" w:hRule="atLeast"/>
        </w:trPr>
        <w:tc>
          <w:tcPr>
            <w:tcW w:w="6546" w:type="dxa"/>
            <w:gridSpan w:val="2"/>
            <w:tcBorders/>
            <w:shd w:fill="D0D0D0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W  przypadku kotła na paliwo stałe potwierdzam, że zamontowany kocioł nie posiada rusztu awaryjnego lub przedpaleniska.</w:t>
            </w:r>
          </w:p>
        </w:tc>
        <w:tc>
          <w:tcPr>
            <w:tcW w:w="2839" w:type="dxa"/>
            <w:tcBorders/>
            <w:shd w:fill="D0D0D0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</w:tr>
    </w:tbl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Style w:val="Tabela-Siatka"/>
        <w:tblpPr w:bottomFromText="0" w:horzAnchor="margin" w:leftFromText="141" w:rightFromText="141" w:tblpX="-68" w:tblpY="100" w:topFromText="0" w:vertAnchor="text"/>
        <w:tblW w:w="9343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2"/>
        <w:gridCol w:w="2493"/>
        <w:gridCol w:w="2318"/>
      </w:tblGrid>
      <w:tr>
        <w:trPr/>
        <w:tc>
          <w:tcPr>
            <w:tcW w:w="453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Calibri"/>
                <w:b/>
                <w:kern w:val="0"/>
                <w:sz w:val="16"/>
                <w:szCs w:val="16"/>
                <w:lang w:val="pl-PL" w:eastAsia="en-US" w:bidi="ar-SA"/>
              </w:rPr>
              <w:t>Zakup i montaż instalacji centralnego ogrzewania, ciepłej wody użytkowej, przyłącza, instalacji wewnętrznej od przyłącza                   do źródła ciepła, wentylacji mechanicznej z odzyskiem ciepła.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Calibri" w:hAnsi="Calibri" w:eastAsia="Calibri" w:cs="Times New Roman"/>
                <w:color w:val="000000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93" w:type="dxa"/>
            <w:vMerge w:val="restart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Model, moc, producent</w:t>
            </w:r>
          </w:p>
          <w:p>
            <w:pPr>
              <w:pStyle w:val="Normal"/>
              <w:widowControl w:val="false"/>
              <w:spacing w:lineRule="auto" w:line="240" w:before="0" w:after="0"/>
              <w:ind w:left="-78" w:right="-138" w:hanging="0"/>
              <w:jc w:val="center"/>
              <w:rPr/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(dotyczy urządzeń wchodzących                 w skład c.o./c.w.u. oraz urządzeń dotyczących wentylacji</w:t>
            </w:r>
          </w:p>
        </w:tc>
        <w:tc>
          <w:tcPr>
            <w:tcW w:w="2318" w:type="dxa"/>
            <w:vMerge w:val="restart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Liczba podstawowych elementów np. grzejników/urządzeń/instalacji</w:t>
            </w:r>
          </w:p>
        </w:tc>
      </w:tr>
      <w:tr>
        <w:trPr/>
        <w:tc>
          <w:tcPr>
            <w:tcW w:w="4532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  <w:t>Rodzaj zamontowanej instalacji</w:t>
            </w:r>
          </w:p>
        </w:tc>
        <w:tc>
          <w:tcPr>
            <w:tcW w:w="2493" w:type="dxa"/>
            <w:vMerge w:val="continue"/>
            <w:tcBorders/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b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318" w:type="dxa"/>
            <w:vMerge w:val="continue"/>
            <w:tcBorders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b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3619" w:hRule="atLeast"/>
        </w:trPr>
        <w:tc>
          <w:tcPr>
            <w:tcW w:w="4532" w:type="dxa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rFonts w:eastAsia="Calibri" w:cs=""/>
                <w:kern w:val="0"/>
                <w:sz w:val="18"/>
                <w:szCs w:val="18"/>
                <w:lang w:val="pl-PL" w:eastAsia="en-US" w:bidi="ar-SA"/>
              </w:rPr>
              <w:t>Np.</w:t>
            </w:r>
          </w:p>
          <w:p>
            <w:pPr>
              <w:pStyle w:val="Normal"/>
              <w:widowControl w:val="false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widowControl w:val="false"/>
              <w:jc w:val="left"/>
              <w:rPr>
                <w:i/>
                <w:i/>
                <w:iCs/>
              </w:rPr>
            </w:pPr>
            <w:r>
              <w:rPr>
                <w:rFonts w:eastAsia="Calibri" w:cs=""/>
                <w:i/>
                <w:iCs/>
                <w:kern w:val="0"/>
                <w:sz w:val="18"/>
                <w:szCs w:val="18"/>
                <w:lang w:val="pl-PL" w:eastAsia="en-US" w:bidi="ar-SA"/>
              </w:rPr>
              <w:t xml:space="preserve">a) </w:t>
            </w:r>
            <w:r>
              <w:rPr>
                <w:rFonts w:ascii="TimesNewRomanPSMT" w:hAnsi="TimesNewRomanPSMT"/>
                <w:i/>
                <w:iCs/>
                <w:sz w:val="18"/>
                <w:szCs w:val="18"/>
              </w:rPr>
              <w:t>instalacja wentylacji mechanicznej z rekuperacją [producent, model centrali]</w:t>
            </w:r>
          </w:p>
          <w:p>
            <w:pPr>
              <w:pStyle w:val="Normal"/>
              <w:widowControl w:val="false"/>
              <w:jc w:val="left"/>
              <w:rPr>
                <w:i/>
                <w:i/>
                <w:iCs/>
              </w:rPr>
            </w:pPr>
            <w:r>
              <w:rPr>
                <w:rFonts w:ascii="TimesNewRomanPSMT" w:hAnsi="TimesNewRomanPSMT"/>
                <w:i/>
                <w:iCs/>
                <w:sz w:val="18"/>
                <w:szCs w:val="18"/>
              </w:rPr>
              <w:t>b) nowe grzejniki/ogrzewanie podłogowe [ilość szt.]</w:t>
            </w:r>
          </w:p>
          <w:p>
            <w:pPr>
              <w:pStyle w:val="Normal"/>
              <w:widowControl w:val="false"/>
              <w:jc w:val="left"/>
              <w:rPr>
                <w:i/>
                <w:i/>
                <w:iCs/>
              </w:rPr>
            </w:pPr>
            <w:r>
              <w:rPr>
                <w:rFonts w:ascii="TimesNewRomanPSMT" w:hAnsi="TimesNewRomanPSMT"/>
                <w:i/>
                <w:iCs/>
                <w:sz w:val="18"/>
                <w:szCs w:val="18"/>
              </w:rPr>
              <w:t>itp.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i/>
                <w:i/>
                <w:iCs/>
                <w:kern w:val="0"/>
                <w:sz w:val="18"/>
                <w:szCs w:val="18"/>
                <w:lang w:val="pl-PL" w:eastAsia="en-US" w:bidi="ar-SA"/>
              </w:rPr>
            </w:pPr>
            <w:r>
              <w:rPr>
                <w:rFonts w:eastAsia="Calibri" w:cs=""/>
                <w:i/>
                <w:iCs/>
                <w:kern w:val="0"/>
                <w:sz w:val="18"/>
                <w:szCs w:val="18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Times New Roman"/>
                <w:color w:val="000000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Times New Roman"/>
                <w:color w:val="000000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493" w:type="dxa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2318" w:type="dxa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</w:tr>
    </w:tbl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tbl>
      <w:tblPr>
        <w:tblStyle w:val="Tabela-Siatka"/>
        <w:tblW w:w="9375" w:type="dxa"/>
        <w:jc w:val="left"/>
        <w:tblInd w:w="7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390"/>
        <w:gridCol w:w="1196"/>
        <w:gridCol w:w="4789"/>
      </w:tblGrid>
      <w:tr>
        <w:trPr>
          <w:cantSplit w:val="true"/>
        </w:trPr>
        <w:tc>
          <w:tcPr>
            <w:tcW w:w="3390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Zakup i montaż stolarki okiennej i drzwiowej</w:t>
            </w:r>
          </w:p>
        </w:tc>
        <w:tc>
          <w:tcPr>
            <w:tcW w:w="1196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b/>
                <w:kern w:val="0"/>
                <w:position w:val="0"/>
                <w:sz w:val="16"/>
                <w:sz w:val="16"/>
                <w:szCs w:val="16"/>
                <w:vertAlign w:val="baseline"/>
                <w:lang w:val="pl-PL" w:eastAsia="en-US" w:bidi="ar-SA"/>
              </w:rPr>
              <w:t>Ilość sz</w:t>
            </w: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tuk objętych zakresem</w:t>
            </w:r>
          </w:p>
        </w:tc>
        <w:tc>
          <w:tcPr>
            <w:tcW w:w="4789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-78" w:right="-115" w:hanging="0"/>
              <w:jc w:val="center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Stolarka okienna lub drzwiowa została zamontowana                                 w pomieszczeniach ogrzewanych i spełnia wymagania techniczne                  dla przenikalności cieplnej określone w Rozporządzeniu Ministra Infrastruktury z dnia 12 kwietnia 2002 r. w sprawie warunków technicznych, jakie powinny odpowiadać budynku i ich usytuowanie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(wpisać TAK lub NIE</w:t>
            </w:r>
            <w:r>
              <w:rPr>
                <w:rStyle w:val="Zakotwiczenieprzypisudolnego"/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footnoteReference w:id="2"/>
            </w:r>
            <w:r>
              <w:rPr>
                <w:rFonts w:eastAsia="Calibri" w:cs=""/>
                <w:b/>
                <w:kern w:val="0"/>
                <w:sz w:val="16"/>
                <w:szCs w:val="16"/>
                <w:lang w:val="pl-PL" w:eastAsia="en-US" w:bidi="ar-SA"/>
              </w:rPr>
              <w:t>)</w:t>
            </w:r>
          </w:p>
        </w:tc>
      </w:tr>
      <w:tr>
        <w:trPr>
          <w:trHeight w:val="372" w:hRule="atLeast"/>
        </w:trPr>
        <w:tc>
          <w:tcPr>
            <w:tcW w:w="3390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Calibri" w:cstheme="minorHAnsi"/>
                <w:color w:val="000000"/>
                <w:kern w:val="0"/>
                <w:sz w:val="16"/>
                <w:szCs w:val="16"/>
                <w:lang w:val="pl-PL" w:eastAsia="en-US" w:bidi="ar-SA"/>
              </w:rPr>
              <w:t>Stolarka okienna</w:t>
            </w:r>
          </w:p>
        </w:tc>
        <w:tc>
          <w:tcPr>
            <w:tcW w:w="1196" w:type="dxa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4789" w:type="dxa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</w:tr>
      <w:tr>
        <w:trPr>
          <w:trHeight w:val="564" w:hRule="atLeast"/>
        </w:trPr>
        <w:tc>
          <w:tcPr>
            <w:tcW w:w="3390" w:type="dxa"/>
            <w:tcBorders/>
            <w:shd w:color="auto" w:fill="FFFFFF" w:themeFill="background1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Calibri" w:cstheme="minorHAnsi"/>
                <w:color w:val="000000"/>
                <w:kern w:val="0"/>
                <w:sz w:val="16"/>
                <w:szCs w:val="16"/>
                <w:lang w:val="pl-PL" w:eastAsia="en-US" w:bidi="ar-SA"/>
              </w:rPr>
              <w:t>Stolarka drzwiowa</w:t>
            </w:r>
          </w:p>
        </w:tc>
        <w:tc>
          <w:tcPr>
            <w:tcW w:w="1196" w:type="dxa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  <w:tc>
          <w:tcPr>
            <w:tcW w:w="4789" w:type="dxa"/>
            <w:tcBorders/>
            <w:shd w:color="auto" w:fill="D6E3BC" w:themeFill="accent3" w:themeFillTint="66" w:val="clea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Calibri" w:hAnsi="Calibri" w:eastAsia="Calibri" w:cs=""/>
                <w:kern w:val="0"/>
                <w:sz w:val="16"/>
                <w:szCs w:val="16"/>
                <w:lang w:val="pl-PL" w:eastAsia="en-US" w:bidi="ar-SA"/>
              </w:rPr>
            </w:pPr>
            <w:r>
              <w:rPr>
                <w:rFonts w:eastAsia="Calibri" w:cs=""/>
                <w:kern w:val="0"/>
                <w:sz w:val="16"/>
                <w:szCs w:val="16"/>
                <w:lang w:val="pl-PL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Calibri" w:hAnsi="Calibri"/>
          <w:sz w:val="16"/>
          <w:szCs w:val="16"/>
        </w:rPr>
      </w:pPr>
      <w:r>
        <w:rPr>
          <w:b/>
          <w:sz w:val="16"/>
          <w:szCs w:val="16"/>
        </w:rPr>
        <w:t xml:space="preserve">Oświadczenia Wykonawcy: </w:t>
      </w:r>
    </w:p>
    <w:p>
      <w:pPr>
        <w:pStyle w:val="Normal"/>
        <w:spacing w:lineRule="auto" w:line="240" w:before="0" w:after="0"/>
        <w:rPr>
          <w:b/>
        </w:rPr>
      </w:pPr>
      <w:r>
        <w:rPr>
          <w:b/>
        </w:rPr>
      </w:r>
    </w:p>
    <w:p>
      <w:pPr>
        <w:pStyle w:val="Normal"/>
        <w:spacing w:lineRule="auto" w:line="240" w:before="0" w:after="0"/>
        <w:jc w:val="both"/>
        <w:rPr>
          <w:rFonts w:ascii="Calibri" w:hAnsi="Calibri"/>
          <w:sz w:val="16"/>
          <w:szCs w:val="16"/>
        </w:rPr>
      </w:pPr>
      <w:r>
        <w:rPr>
          <w:sz w:val="16"/>
          <w:szCs w:val="16"/>
        </w:rPr>
        <w:t>1. Stwierdzam, że prace objęte protokołem, zostały wykonane zgodnie z warunkami pozwolenia na budowę oraz dokumentacją projektową (jeśli dotyczy), przepisami prawa w tym prawa budowlanego i obowiązującymi Polskimi Normami.</w:t>
      </w:r>
    </w:p>
    <w:p>
      <w:pPr>
        <w:pStyle w:val="Normal"/>
        <w:spacing w:lineRule="auto" w:line="240" w:before="0" w:after="0"/>
        <w:jc w:val="both"/>
        <w:rPr>
          <w:rFonts w:ascii="Calibri" w:hAnsi="Calibri"/>
          <w:sz w:val="16"/>
          <w:szCs w:val="16"/>
        </w:rPr>
      </w:pPr>
      <w:r>
        <w:rPr>
          <w:sz w:val="16"/>
          <w:szCs w:val="16"/>
        </w:rPr>
        <w:t>2. Zakres rzeczowy prac objęty niniejszym protokołem odpowiada przeznaczeniu, któremu ma służyć, został zamontowany i uruchomiony                    w lokalu mieszkalnym znajdującym się pod adresem wskazanym powyżej w pkt A i jest gotowy do eksploatacji.</w:t>
      </w:r>
    </w:p>
    <w:p>
      <w:pPr>
        <w:pStyle w:val="Normal"/>
        <w:spacing w:lineRule="auto" w:line="240" w:before="0" w:after="0"/>
        <w:jc w:val="both"/>
        <w:rPr>
          <w:rFonts w:ascii="Calibri" w:hAnsi="Calibri"/>
          <w:sz w:val="16"/>
          <w:szCs w:val="16"/>
        </w:rPr>
      </w:pPr>
      <w:r>
        <w:rPr>
          <w:sz w:val="16"/>
          <w:szCs w:val="16"/>
        </w:rPr>
        <w:t>3. Odbiorca prac otrzymał gwarancję jakości producenta dla urządzeń objętych niniejszym protokołem.</w:t>
      </w:r>
    </w:p>
    <w:p>
      <w:pPr>
        <w:pStyle w:val="Normal"/>
        <w:spacing w:lineRule="auto" w:line="240" w:before="0" w:after="0"/>
        <w:jc w:val="both"/>
        <w:rPr>
          <w:rFonts w:ascii="Calibri" w:hAnsi="Calibri"/>
          <w:sz w:val="16"/>
          <w:szCs w:val="16"/>
        </w:rPr>
      </w:pPr>
      <w:r>
        <w:rPr>
          <w:sz w:val="16"/>
          <w:szCs w:val="16"/>
        </w:rPr>
        <w:t>4. Odbiorca prac otrzymał odpowiednie certyfikaty/świadectwa, etykiety/karty produktu/atesty wyrobów budowlanych i urządzeń.</w:t>
      </w:r>
    </w:p>
    <w:p>
      <w:pPr>
        <w:pStyle w:val="Normal"/>
        <w:spacing w:lineRule="auto" w:line="240" w:before="0" w:after="0"/>
        <w:jc w:val="both"/>
        <w:rPr>
          <w:rFonts w:ascii="Calibri" w:hAnsi="Calibri"/>
          <w:sz w:val="16"/>
          <w:szCs w:val="16"/>
        </w:rPr>
      </w:pPr>
      <w:r>
        <w:rPr>
          <w:sz w:val="16"/>
          <w:szCs w:val="16"/>
        </w:rPr>
        <w:t>5. Wszystkie urządzenia oraz materiały, które wskazano w niniejszym protokole zostały zamontowane jako fabrycznie nowe, dopuszczone do obrotu oraz w przypadku gdy wynika to z obowiązujących przepisów prawa - posiadają deklaracje zgodności urządzeń z przepisami                    z zakresu bezpieczeństwa produktu (oznaczenia „CE” lub „B”).</w:t>
      </w:r>
    </w:p>
    <w:p>
      <w:pPr>
        <w:pStyle w:val="Normal"/>
        <w:spacing w:lineRule="auto" w:line="240" w:before="0" w:after="0"/>
        <w:jc w:val="both"/>
        <w:rPr>
          <w:rFonts w:ascii="Calibri" w:hAnsi="Calibri"/>
          <w:sz w:val="16"/>
          <w:szCs w:val="16"/>
        </w:rPr>
      </w:pPr>
      <w:r>
        <w:rPr>
          <w:sz w:val="16"/>
          <w:szCs w:val="16"/>
        </w:rPr>
        <w:t>6. Oświadczam, że informacje zawarte w protokole odbioru prac, są prawdziwe oraz zgodne ze stanem faktycznym i prawnym. Znane mi są skutki składania fałszywych oświadczeń, wynikające z art.297 § 1 ustawy z dnia 6 czerwca 1997r. Kodeks karny.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</w:r>
    </w:p>
    <w:p>
      <w:pPr>
        <w:pStyle w:val="Normal"/>
        <w:spacing w:lineRule="auto" w:line="240" w:before="0" w:after="0"/>
        <w:jc w:val="right"/>
        <w:rPr>
          <w:sz w:val="16"/>
          <w:szCs w:val="16"/>
        </w:rPr>
      </w:pPr>
      <w:r>
        <w:rPr>
          <w:rFonts w:ascii="Times New Roman" w:hAnsi="Times New Roman"/>
          <w:sz w:val="18"/>
          <w:szCs w:val="16"/>
        </w:rPr>
        <w:t>..................................................................................…</w:t>
      </w:r>
    </w:p>
    <w:p>
      <w:pPr>
        <w:pStyle w:val="Normal"/>
        <w:spacing w:lineRule="auto" w:line="240" w:before="0" w:after="0"/>
        <w:jc w:val="right"/>
        <w:rPr>
          <w:sz w:val="16"/>
          <w:szCs w:val="16"/>
        </w:rPr>
      </w:pPr>
      <w:r>
        <w:rPr>
          <w:rFonts w:ascii="Times New Roman" w:hAnsi="Times New Roman"/>
          <w:sz w:val="18"/>
          <w:szCs w:val="16"/>
        </w:rPr>
        <w:t xml:space="preserve"> </w:t>
      </w:r>
      <w:r>
        <w:rPr>
          <w:rFonts w:ascii="Times New Roman" w:hAnsi="Times New Roman"/>
          <w:sz w:val="12"/>
          <w:szCs w:val="16"/>
        </w:rPr>
        <w:t xml:space="preserve">(czytelny podpis Wykonawcy, pieczęć, data) </w:t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sz w:val="16"/>
          <w:szCs w:val="16"/>
        </w:rPr>
      </w:pPr>
      <w:r>
        <w:rPr>
          <w:b/>
          <w:sz w:val="16"/>
          <w:szCs w:val="16"/>
        </w:rPr>
        <w:t xml:space="preserve">Oświadczenia Beneficjenta: </w:t>
      </w:r>
    </w:p>
    <w:p>
      <w:pPr>
        <w:pStyle w:val="Normal"/>
        <w:spacing w:lineRule="auto" w:line="240" w:before="0" w:after="0"/>
        <w:jc w:val="both"/>
        <w:rPr>
          <w:sz w:val="16"/>
          <w:szCs w:val="16"/>
        </w:rPr>
      </w:pPr>
      <w:r>
        <w:rPr>
          <w:b w:val="false"/>
          <w:sz w:val="16"/>
          <w:szCs w:val="16"/>
        </w:rPr>
        <w:t>1. Posiadam stosowne uprawnienia/kwalifikacje do zamontowania i uruchomienia nowego źródła ciepła objętego Programem Priorytetowym „Ciepłe Mieszkanie” (dotyczy przypadku, gdy Beneficjent własnymi siłami montuje i uruchamia zakupione z Programu źródło ciepła)</w:t>
      </w:r>
      <w:r>
        <w:rPr>
          <w:rStyle w:val="Zakotwiczenieprzypisudolnego"/>
          <w:b w:val="false"/>
          <w:sz w:val="16"/>
          <w:szCs w:val="16"/>
        </w:rPr>
        <w:footnoteReference w:id="3"/>
      </w:r>
      <w:r>
        <w:rPr>
          <w:b w:val="false"/>
          <w:sz w:val="16"/>
          <w:szCs w:val="16"/>
        </w:rPr>
        <w:t>.</w:t>
      </w:r>
    </w:p>
    <w:p>
      <w:pPr>
        <w:pStyle w:val="Normal"/>
        <w:spacing w:lineRule="auto" w:line="240" w:before="0" w:after="0"/>
        <w:jc w:val="both"/>
        <w:rPr>
          <w:sz w:val="16"/>
          <w:szCs w:val="16"/>
        </w:rPr>
      </w:pPr>
      <w:r>
        <w:rPr>
          <w:b w:val="false"/>
          <w:sz w:val="16"/>
          <w:szCs w:val="16"/>
        </w:rPr>
        <w:t>2. Stwierdzam, że prace objęte protokołem, zostały wykonane zgodnie z umową z wykonawcą /zamówieniem i dokonałem ich odbioru                 bez zastrzeżeń</w:t>
      </w:r>
      <w:r>
        <w:rPr>
          <w:rStyle w:val="Zakotwiczenieprzypisudolnego"/>
          <w:b w:val="false"/>
          <w:sz w:val="16"/>
          <w:szCs w:val="16"/>
        </w:rPr>
        <w:footnoteReference w:id="4"/>
      </w:r>
      <w:r>
        <w:rPr>
          <w:b w:val="false"/>
          <w:sz w:val="16"/>
          <w:szCs w:val="16"/>
        </w:rPr>
        <w:t>.</w:t>
      </w:r>
    </w:p>
    <w:p>
      <w:pPr>
        <w:pStyle w:val="Normal"/>
        <w:spacing w:lineRule="auto" w:line="240" w:before="0" w:after="0"/>
        <w:jc w:val="both"/>
        <w:rPr>
          <w:sz w:val="16"/>
          <w:szCs w:val="16"/>
        </w:rPr>
      </w:pPr>
      <w:r>
        <w:rPr>
          <w:b w:val="false"/>
          <w:sz w:val="16"/>
          <w:szCs w:val="16"/>
        </w:rPr>
        <w:t>3. Oświadczam, że cały zakres rzeczowy prac objęty niniejszym protokołem dotyczy lokalu mieszkalnego, w którym realizowane                           jest przedsięwzięcie objęte dofinansowaniem w ramach Programu priorytetowego „Ciepłe Mieszkanie” w gminie Boguszów - Gorce i należy do zakresu rzeczowego tego przedsięwzięcia.</w:t>
      </w:r>
    </w:p>
    <w:p>
      <w:pPr>
        <w:pStyle w:val="Normal"/>
        <w:spacing w:lineRule="auto" w:line="240" w:before="0" w:after="0"/>
        <w:jc w:val="both"/>
        <w:rPr>
          <w:sz w:val="16"/>
          <w:szCs w:val="16"/>
        </w:rPr>
      </w:pPr>
      <w:r>
        <w:rPr>
          <w:b w:val="false"/>
          <w:sz w:val="16"/>
          <w:szCs w:val="16"/>
        </w:rPr>
        <w:t>4. Oświadczam, że otrzymałem od wykonawcy certyfikaty/świadectwa, etykiety/karty produktu/atesty wyrobów budowlanych i urządzeń.</w:t>
      </w:r>
    </w:p>
    <w:p>
      <w:pPr>
        <w:pStyle w:val="Normal"/>
        <w:spacing w:lineRule="auto" w:line="240" w:before="0" w:after="0"/>
        <w:jc w:val="both"/>
        <w:rPr>
          <w:sz w:val="16"/>
          <w:szCs w:val="16"/>
        </w:rPr>
      </w:pPr>
      <w:r>
        <w:rPr>
          <w:b w:val="false"/>
          <w:sz w:val="16"/>
          <w:szCs w:val="16"/>
        </w:rPr>
        <w:t xml:space="preserve">5. Oświadczam, że informacje zawarte w protokole odbioru prac są prawdziwe oraz zgodne ze stanem faktycznym i prawnym. Znane mi są skutki składania fałszywych oświadczeń, wynikające z art. 297 § 1 ustawy z dnia 6 czerwca 1997r. Kodeks karny. </w:t>
      </w:r>
    </w:p>
    <w:p>
      <w:pPr>
        <w:pStyle w:val="Normal"/>
        <w:spacing w:lineRule="auto" w:line="240" w:before="0" w:after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40" w:before="0" w:after="0"/>
        <w:jc w:val="right"/>
        <w:rPr>
          <w:sz w:val="16"/>
          <w:szCs w:val="16"/>
        </w:rPr>
      </w:pPr>
      <w:r>
        <w:rPr>
          <w:rFonts w:ascii="Times New Roman" w:hAnsi="Times New Roman"/>
          <w:sz w:val="18"/>
          <w:szCs w:val="16"/>
        </w:rPr>
        <w:t>..................................................................................…</w:t>
      </w:r>
    </w:p>
    <w:p>
      <w:pPr>
        <w:pStyle w:val="Normal"/>
        <w:spacing w:lineRule="auto" w:line="240" w:before="0" w:after="0"/>
        <w:jc w:val="right"/>
        <w:rPr>
          <w:sz w:val="16"/>
          <w:szCs w:val="16"/>
        </w:rPr>
      </w:pPr>
      <w:r>
        <w:rPr>
          <w:rFonts w:ascii="Times New Roman" w:hAnsi="Times New Roman"/>
          <w:sz w:val="18"/>
          <w:szCs w:val="16"/>
        </w:rPr>
        <w:t xml:space="preserve"> </w:t>
      </w:r>
      <w:r>
        <w:rPr>
          <w:rFonts w:ascii="Times New Roman" w:hAnsi="Times New Roman"/>
          <w:sz w:val="12"/>
          <w:szCs w:val="16"/>
        </w:rPr>
        <w:t xml:space="preserve">(czytelny podpis Beneficjenta, data) </w:t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</w:rPr>
        <w:t xml:space="preserve">Niniejszą informację otrzymuje Pani/ Pan w związku z obowiązkami określonymi w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(Dziennik Urzędowy Unii Europejskiej z dnia 14 maja 2016 r. L 119/1). </w:t>
      </w:r>
    </w:p>
    <w:tbl>
      <w:tblPr>
        <w:tblW w:w="9638" w:type="dxa"/>
        <w:jc w:val="left"/>
        <w:tblInd w:w="50" w:type="dxa"/>
        <w:tblLayout w:type="fixed"/>
        <w:tblCellMar>
          <w:top w:w="55" w:type="dxa"/>
          <w:left w:w="50" w:type="dxa"/>
          <w:bottom w:w="55" w:type="dxa"/>
          <w:right w:w="55" w:type="dxa"/>
        </w:tblCellMar>
      </w:tblPr>
      <w:tblGrid>
        <w:gridCol w:w="3434"/>
        <w:gridCol w:w="6203"/>
      </w:tblGrid>
      <w:tr>
        <w:trPr>
          <w:trHeight w:val="1136" w:hRule="atLeast"/>
        </w:trPr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Zawartotabeli"/>
              <w:widowControl w:val="false"/>
              <w:spacing w:lineRule="auto" w:line="240"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drawing>
                <wp:anchor behindDoc="0" distT="0" distB="0" distL="114935" distR="114935" simplePos="0" locked="0" layoutInCell="1" allowOverlap="1" relativeHeight="14">
                  <wp:simplePos x="0" y="0"/>
                  <wp:positionH relativeFrom="column">
                    <wp:posOffset>509905</wp:posOffset>
                  </wp:positionH>
                  <wp:positionV relativeFrom="paragraph">
                    <wp:posOffset>36830</wp:posOffset>
                  </wp:positionV>
                  <wp:extent cx="571500" cy="568325"/>
                  <wp:effectExtent l="0" t="0" r="0" b="0"/>
                  <wp:wrapTopAndBottom/>
                  <wp:docPr id="1" name="Obraz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  <w:sz w:val="16"/>
                <w:szCs w:val="16"/>
              </w:rPr>
              <w:t>Urząd Miejski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>
              <w:rPr>
                <w:rStyle w:val="Strong"/>
                <w:rFonts w:ascii="Times New Roman" w:hAnsi="Times New Roman"/>
                <w:b/>
                <w:bCs/>
                <w:sz w:val="16"/>
                <w:szCs w:val="16"/>
              </w:rPr>
              <w:t>w Boguszowie – Gorcach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Plac Odrodzenia 1, 58-370 Boguszów-Gorce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TEL. 074/8449 311, FAX 074/8449 165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hyperlink r:id="rId3">
              <w:r>
                <w:rPr>
                  <w:rStyle w:val="Czeinternetowe"/>
                  <w:rFonts w:eastAsia="Calibri" w:ascii="Times New Roman" w:hAnsi="Times New Roman"/>
                  <w:color w:val="000080"/>
                  <w:sz w:val="16"/>
                  <w:szCs w:val="16"/>
                  <w:u w:val="single"/>
                  <w:lang w:val="zxx" w:eastAsia="zxx" w:bidi="zxx"/>
                </w:rPr>
                <w:t>www.boguszow-gorce.pl</w:t>
              </w:r>
            </w:hyperlink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hyperlink r:id="rId4">
              <w:r>
                <w:rPr>
                  <w:rStyle w:val="Czeinternetowe"/>
                  <w:rFonts w:eastAsia="Calibri" w:ascii="Times New Roman" w:hAnsi="Times New Roman"/>
                  <w:color w:val="000080"/>
                  <w:sz w:val="16"/>
                  <w:szCs w:val="16"/>
                  <w:u w:val="single"/>
                  <w:lang w:val="zxx" w:eastAsia="zxx" w:bidi="zxx"/>
                </w:rPr>
                <w:t>www.bip.boguszow-gorce.pl</w:t>
              </w:r>
            </w:hyperlink>
          </w:p>
        </w:tc>
      </w:tr>
      <w:tr>
        <w:trPr/>
        <w:tc>
          <w:tcPr>
            <w:tcW w:w="96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Informacja o przetwarzaniu danych osobowych w związku z realizacją Programu Priorytetowego „Ciepłe Mieszkanie”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TOŻSAMOŚĆ I DANE KONTAKTOWE ADMINISTRATORA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sz w:val="15"/>
                <w:szCs w:val="15"/>
              </w:rPr>
              <w:t xml:space="preserve">Administratorem Pani/Pana danych osobowych </w:t>
            </w:r>
            <w:r>
              <w:rPr>
                <w:rFonts w:cs="Times New Roman" w:ascii="Times New Roman" w:hAnsi="Times New Roman"/>
                <w:b w:val="false"/>
                <w:bCs w:val="false"/>
                <w:sz w:val="15"/>
                <w:szCs w:val="15"/>
                <w:lang w:eastAsia="zh-CN"/>
              </w:rPr>
              <w:t xml:space="preserve">jest Burmistrz Miasta Boguszowa-Gorc, Plac Odrodzenia 1, 58-370 Boguszów-Gorce, tel. 74 84 49 311, </w:t>
            </w:r>
            <w:hyperlink r:id="rId5">
              <w:r>
                <w:rPr>
                  <w:rStyle w:val="Czeinternetowe"/>
                  <w:rFonts w:eastAsia="Calibri" w:cs="Times New Roman" w:ascii="Times New Roman" w:hAnsi="Times New Roman"/>
                  <w:b w:val="false"/>
                  <w:bCs w:val="false"/>
                  <w:color w:val="000080"/>
                  <w:sz w:val="15"/>
                  <w:szCs w:val="15"/>
                  <w:u w:val="single"/>
                  <w:lang w:val="zxx" w:eastAsia="zh-CN" w:bidi="zxx"/>
                </w:rPr>
                <w:t>sekretariat@boguszow-gorce.pl</w:t>
              </w:r>
            </w:hyperlink>
            <w:r>
              <w:rPr>
                <w:rFonts w:cs="Times New Roman" w:ascii="Times New Roman" w:hAnsi="Times New Roman"/>
                <w:b w:val="false"/>
                <w:bCs w:val="false"/>
                <w:sz w:val="15"/>
                <w:szCs w:val="15"/>
                <w:lang w:eastAsia="zh-CN"/>
              </w:rPr>
              <w:t>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DANE KONTAKTOWE INSPEKTORA OCHRONY DANYCH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15"/>
                <w:szCs w:val="15"/>
                <w:lang w:eastAsia="zh-CN"/>
              </w:rPr>
              <w:t xml:space="preserve">Administrator wyznaczył Inspektora Ochrony Danych, z którym można się skontaktować poprzez            e-mail: </w:t>
            </w:r>
            <w:hyperlink r:id="rId6">
              <w:r>
                <w:rPr>
                  <w:rStyle w:val="Czeinternetowe"/>
                  <w:rFonts w:eastAsia="Calibri" w:cs="Times New Roman" w:ascii="Times New Roman" w:hAnsi="Times New Roman"/>
                  <w:color w:val="000080"/>
                  <w:sz w:val="15"/>
                  <w:szCs w:val="15"/>
                  <w:u w:val="single"/>
                  <w:lang w:val="zxx" w:eastAsia="zh-CN" w:bidi="zxx"/>
                </w:rPr>
                <w:t>rybinska.malgorzata@wp.pl</w:t>
              </w:r>
            </w:hyperlink>
            <w:r>
              <w:rPr>
                <w:rFonts w:cs="Times New Roman" w:ascii="Times New Roman" w:hAnsi="Times New Roman"/>
                <w:sz w:val="15"/>
                <w:szCs w:val="15"/>
                <w:lang w:eastAsia="zh-CN"/>
              </w:rPr>
              <w:t xml:space="preserve"> lub </w:t>
            </w:r>
            <w:hyperlink r:id="rId7">
              <w:r>
                <w:rPr>
                  <w:rStyle w:val="Czeinternetowe"/>
                  <w:rFonts w:eastAsia="Calibri" w:cs="Times New Roman" w:ascii="Times New Roman" w:hAnsi="Times New Roman"/>
                  <w:color w:val="000080"/>
                  <w:sz w:val="15"/>
                  <w:szCs w:val="15"/>
                  <w:u w:val="single"/>
                  <w:lang w:val="zxx" w:eastAsia="zh-CN" w:bidi="zxx"/>
                </w:rPr>
                <w:t>audytor@boguszow-gorce.pl</w:t>
              </w:r>
            </w:hyperlink>
            <w:r>
              <w:rPr>
                <w:rFonts w:cs="Times New Roman" w:ascii="Times New Roman" w:hAnsi="Times New Roman"/>
                <w:sz w:val="15"/>
                <w:szCs w:val="15"/>
                <w:lang w:eastAsia="zh-CN"/>
              </w:rPr>
              <w:t>. Z inspektorem ochrony danych można się kontaktować we wszystkich sprawach dotyczących przetwarzania danych osobowych oraz korzystania z praw związanych z przetwarzaniem danych.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CELE PRZETWARZANIA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Pani / Pana dane będą przetwarzane w celu rozpatrzenia wniosku o dofinansowanie na realizację przedsięwzięć w ramach programu priorytetowego „Ciepłe Mieszkanie” oraz zawarcia umowy                    w tym zakresie. Pani/ Pana dane osobowe w zakresie numeru telefonu i adresu e- mail będą przetwarzane w celu zapewnienia szybkiej komunikacji związanej z przeprowadzanym naborem wniosków.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PODSTAWA PRAWNA PRZETWARZANIA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 xml:space="preserve">Pani/Pana dane osobowe będą przetwarzane na podstawie: - art. 6 ust. 1 lit 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-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 xml:space="preserve">przetwarzanie jest niezbędne do wykonania zadania realizowanego w interesie publicznym w oparciu o przepisy ustawy z dnia 27 kwietnia 2001 r. Prawo ochrony środowiska w związku z realizacją Programu Priorytetowego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„Ciepłe Mieszkanie”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 xml:space="preserve">w gminie Wałbrzych, - art. 6 ust. 1 lit b                        ww. Rozporządzenia - w przypadku przyznania dofinansowania - przetwarzanie jest niezbędne                   do wykonania umowy, której stroną jest osoba, której dane dotyczą, lub do podjęcia działań na żądanie osoby, której dane dotyczą, przed zawarciem umowy, - art. 6 ust. 1 lit a ww. Rozporządzenia - dobrowolnej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zgody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 xml:space="preserve">w przypadku danych dotyczących numeru telefonu i adresu e-mail. Zgodę można wycofać w dowolnym momencie.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>Podanie we wniosku danych w zakresie numeru telefonu i adresu e-mail będzie traktowane jako zgoda na ich przetwarzanie.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ODBIORCY DANYCH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sz w:val="15"/>
                <w:szCs w:val="15"/>
              </w:rPr>
              <w:t>Pani/Pana dane osobowe mogą zostać udostępniane podmiotom i osobom upoważnionym                         na podstawie przepisów prawa, operatorowi pocztowemu lub kurierowi, w celu przekazywania korespondencji papierowej. Dane osobowe mogą zostać również udostępnione podmiotom,                              z którymi administrator zawarł umowę na świadczenie usług serwisowych dla systemów informatycznych wykorzystywanych przy ich przetwarzaniu. Ponadto Pani/Pana dane osobowe mogą zostać udostępnione Narodowemu Funduszowi Ochrony Środowiska i Gospodarki Wodnej NFOŚiGW z siedzibą w 02-673 Warszawie, przy ul. Konstruktorskiej 3a, tel. 22/459 05 21, adres email; inspektorochronydanych@nfosigw.gov.pl oraz Wojewódzkiemu Funduszowi Ochrony Środowiska i Gospodarki Wodnej we Wrocławiu - WFOŚiGW we Wrocławiu, z siedzibą                            we Wrocławiu przy ul. Jastrzębiej 24, 53-148 Wrocław, tel. 071 333-09-40, adres e-mail: poczta@fos.wroc.pl, w związku z prowadzeniem kontroli przedsięwzięć w ramach ww. Programu.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OKRES PRZECHOWYWANIA DANYCH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Pani/Pana dane osobowe będą przechowywane przez okresy zgodne z kategoriami archiwalnymi,                  o których mowa w załączniku Nr 2 do Rozporządzenia Prezesa Rady Ministrów z dnia 18 stycznia 2011 r. w sprawie instrukcji kancelaryjnej, jednolitych rzeczowych wykazów akt oraz instrukcji                  w sprawie organizacji i zakresu działania archiwów zakładowych tj. przez okres 10 lat.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PRAWA PODMIOTÓW DANYCH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 xml:space="preserve">Przysługuje Pani/Panu prawo dostępu do treści swoich danych oraz prawo ich sprostowania, żądania usunięcia lub ograniczenia przetwarzania, prawo wniesienia sprzeciwu wobec przetwarzania.                       W przypadku kiedy podstawą przetwarzania Pani/Pana danych osobowych jest zgoda, przysługuje Pani/Panu prawo do jej wycofania w dowolnym momencie.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Wycofanie zgody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>nie wpływa                          na zgodność z prawem przetwarzania, którego dokonano na podstawie zgody przed jej wycofaniem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PRAWO WNIESIENIA SKARGI DO ORGANU NADZORCZEGO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Ma Pani/Pan prawo wniesienia skargi do organu nadzorczego - Prezesa Urzędu Ochrony Danych Osobowych, gdy uzna Pani/Pan, iż przetwarzanie dotyczących Pani/Pana danych osobowych narusza przepisy prawa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INFORMACJA O DOWOLNOŚCI LUB OBOWIĄZKU PODANIA DANYCH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Podanie Pani/Pana danych osobowych jest niezbędne w celu rozpatrzenia wniosku oraz przyznania dofinansowania na realizację przedsięwzięć w ramach programu priorytetowego „Ciepłe Mieszkanie”. Podane przez Panią/Pana danych jest też warunkiem zawarcia umowy w związku                      z przyznanym dofinansowaniem. Konsekwencją nie podania danych jest brak możliwości zawarcia umowy. Podanie danych osobowych w zakresie numeru telefonu i adresu e-mail jest dobrowolne. Nie podanie tych danych będzie skutkowało brakiem możliwości kontaktu telefonicznego                            i za pośrednictwem poczty elektronicznej.</w:t>
            </w:r>
          </w:p>
        </w:tc>
      </w:tr>
    </w:tbl>
    <w:p>
      <w:pPr>
        <w:pStyle w:val="Normal"/>
        <w:spacing w:before="0" w:after="160"/>
        <w:ind w:hanging="0"/>
        <w:jc w:val="center"/>
        <w:rPr/>
      </w:pPr>
      <w:r>
        <w:rPr/>
      </w:r>
    </w:p>
    <w:sectPr>
      <w:headerReference w:type="default" r:id="rId8"/>
      <w:footerReference w:type="default" r:id="rId9"/>
      <w:footnotePr>
        <w:numFmt w:val="decimal"/>
      </w:footnotePr>
      <w:type w:val="nextPage"/>
      <w:pgSz w:w="11906" w:h="16838"/>
      <w:pgMar w:left="1417" w:right="1417" w:gutter="0" w:header="454" w:top="1589" w:footer="397" w:bottom="110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TimesNewRomanPSMT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761638664"/>
    </w:sdtPr>
    <w:sdtContent>
      <w:p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 xml:space="preserve"> PAGE </w:instrText>
        </w:r>
        <w:r>
          <w:rPr>
            <w:sz w:val="16"/>
            <w:szCs w:val="16"/>
          </w:rPr>
          <w:fldChar w:fldCharType="separate"/>
        </w:r>
        <w:r>
          <w:rPr>
            <w:sz w:val="16"/>
            <w:szCs w:val="16"/>
          </w:rPr>
          <w:t>4</w:t>
        </w:r>
        <w:r>
          <w:rPr>
            <w:sz w:val="16"/>
            <w:szCs w:val="16"/>
          </w:rPr>
          <w:fldChar w:fldCharType="end"/>
        </w:r>
        <w:r>
          <w:rPr>
            <w:sz w:val="16"/>
            <w:szCs w:val="16"/>
          </w:rPr>
          <w:t>/4</w:t>
        </w:r>
      </w:p>
    </w:sdtContent>
  </w:sdt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Przypisdolny"/>
        <w:widowControl w:val="false"/>
        <w:rPr>
          <w:sz w:val="14"/>
          <w:szCs w:val="14"/>
        </w:rPr>
      </w:pPr>
      <w:r>
        <w:rPr>
          <w:rStyle w:val="Znakiprzypiswdolnych"/>
        </w:rPr>
        <w:footnoteRef/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>Wpisanie odpowiedzi NIE oznacza, że stolarka okienna lub drzwiowa została wykonana niezgodnie z umową o dofinansowanie i nie kwalifikuje się do wypłaty dotacji</w:t>
      </w:r>
    </w:p>
  </w:footnote>
  <w:footnote w:id="3">
    <w:p>
      <w:pPr>
        <w:pStyle w:val="Przypisdolny"/>
        <w:widowControl w:val="false"/>
        <w:rPr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W tym przypadku należy również podpisać oświadczenia wykonawcy i podpis opatrzyć pieczęcią wskazującą na posiadanie odpowiednich uprawnień/kwalifikacji (np. uprawnienia wynikające z przepisów prawa lub nadane przez producenta danego urządzenia).</w:t>
      </w:r>
    </w:p>
  </w:footnote>
  <w:footnote w:id="4">
    <w:p>
      <w:pPr>
        <w:pStyle w:val="Przypisdolny"/>
        <w:widowControl w:val="false"/>
        <w:rPr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Niniejszy protokół należy sporządzić po usunięciu stwierdzonych usterek, w sytuacji braku zastrzeżeń ze strony wykonawcy i Beneficjenta.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>
        <w:rFonts w:ascii="Times New Roman" w:hAnsi="Times New Roman"/>
        <w:sz w:val="12"/>
      </w:rPr>
    </w:pPr>
    <w:r>
      <w:rPr/>
      <w:t xml:space="preserve">   </w:t>
    </w:r>
    <w:r>
      <w:drawing>
        <wp:anchor behindDoc="1" distT="0" distB="7620" distL="114300" distR="114300" simplePos="0" locked="0" layoutInCell="0" allowOverlap="1" relativeHeight="5">
          <wp:simplePos x="0" y="0"/>
          <wp:positionH relativeFrom="column">
            <wp:posOffset>209550</wp:posOffset>
          </wp:positionH>
          <wp:positionV relativeFrom="paragraph">
            <wp:posOffset>-60960</wp:posOffset>
          </wp:positionV>
          <wp:extent cx="568960" cy="648970"/>
          <wp:effectExtent l="0" t="0" r="0" b="0"/>
          <wp:wrapSquare wrapText="bothSides"/>
          <wp:docPr id="2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8960" cy="648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                                        </w:t>
    </w:r>
    <w:r>
      <w:rPr/>
      <w:drawing>
        <wp:inline distT="0" distB="0" distL="0" distR="0">
          <wp:extent cx="1577975" cy="588010"/>
          <wp:effectExtent l="0" t="0" r="0" b="0"/>
          <wp:docPr id="3" name="Obraz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6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577975" cy="588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                             </w:t>
    </w:r>
    <w:r>
      <w:rPr/>
      <w:drawing>
        <wp:inline distT="0" distB="0" distL="0" distR="0">
          <wp:extent cx="1495425" cy="459740"/>
          <wp:effectExtent l="0" t="0" r="0" b="0"/>
          <wp:docPr id="4" name="Obraz 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7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459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555e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375ef6"/>
    <w:rPr/>
  </w:style>
  <w:style w:type="character" w:styleId="StopkaZnak" w:customStyle="1">
    <w:name w:val="Stopka Znak"/>
    <w:basedOn w:val="DefaultParagraphFont"/>
    <w:uiPriority w:val="99"/>
    <w:qFormat/>
    <w:rsid w:val="00375ef6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c17409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semiHidden/>
    <w:unhideWhenUsed/>
    <w:qFormat/>
    <w:rsid w:val="00ab211b"/>
    <w:rPr>
      <w:sz w:val="16"/>
      <w:szCs w:val="16"/>
    </w:rPr>
  </w:style>
  <w:style w:type="character" w:styleId="TekstkomentarzaZnak" w:customStyle="1">
    <w:name w:val="Tekst komentarza Znak"/>
    <w:basedOn w:val="DefaultParagraphFont"/>
    <w:uiPriority w:val="99"/>
    <w:semiHidden/>
    <w:qFormat/>
    <w:rsid w:val="00ab211b"/>
    <w:rPr>
      <w:sz w:val="20"/>
      <w:szCs w:val="20"/>
    </w:rPr>
  </w:style>
  <w:style w:type="character" w:styleId="TematkomentarzaZnak" w:customStyle="1">
    <w:name w:val="Temat komentarza Znak"/>
    <w:basedOn w:val="TekstkomentarzaZnak"/>
    <w:uiPriority w:val="99"/>
    <w:semiHidden/>
    <w:qFormat/>
    <w:rsid w:val="00ab211b"/>
    <w:rPr>
      <w:b/>
      <w:bCs/>
      <w:sz w:val="20"/>
      <w:szCs w:val="20"/>
    </w:rPr>
  </w:style>
  <w:style w:type="character" w:styleId="AkapitzlistZnak" w:customStyle="1">
    <w:name w:val="Akapit z listą Znak"/>
    <w:uiPriority w:val="34"/>
    <w:qFormat/>
    <w:locked/>
    <w:rsid w:val="00d3091d"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9c7721"/>
    <w:rPr>
      <w:sz w:val="20"/>
      <w:szCs w:val="20"/>
    </w:rPr>
  </w:style>
  <w:style w:type="character" w:styleId="Znakiprzypiswdolnych">
    <w:name w:val="Znaki przypisów dolnych"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9c7721"/>
    <w:rPr>
      <w:vertAlign w:val="superscript"/>
    </w:rPr>
  </w:style>
  <w:style w:type="character" w:styleId="Strong">
    <w:name w:val="Strong"/>
    <w:qFormat/>
    <w:rPr>
      <w:b/>
      <w:bCs/>
    </w:rPr>
  </w:style>
  <w:style w:type="character" w:styleId="Czeinternetowe">
    <w:name w:val="Hyperlink"/>
    <w:rPr>
      <w:color w:val="000080"/>
      <w:u w:val="single"/>
      <w:lang w:val="zxx" w:eastAsia="zxx" w:bidi="zxx"/>
    </w:rPr>
  </w:style>
  <w:style w:type="character" w:styleId="Znakiprzypiswkocowych">
    <w:name w:val="Znaki przypisów końcowych"/>
    <w:qFormat/>
    <w:rPr>
      <w:vertAlign w:val="superscript"/>
    </w:rPr>
  </w:style>
  <w:style w:type="character" w:styleId="Zakotwiczenieprzypisukocowego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375e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375e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1740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AkapitzlistZnak"/>
    <w:uiPriority w:val="34"/>
    <w:qFormat/>
    <w:rsid w:val="0024188a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b211b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ab211b"/>
    <w:pPr/>
    <w:rPr>
      <w:b/>
      <w:bCs/>
    </w:rPr>
  </w:style>
  <w:style w:type="paragraph" w:styleId="Revision">
    <w:name w:val="Revision"/>
    <w:uiPriority w:val="99"/>
    <w:semiHidden/>
    <w:qFormat/>
    <w:rsid w:val="00f1613f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paragraph" w:styleId="Xmsonormal" w:customStyle="1">
    <w:name w:val="x_msonormal"/>
    <w:basedOn w:val="Normal"/>
    <w:uiPriority w:val="99"/>
    <w:qFormat/>
    <w:rsid w:val="00213a15"/>
    <w:pPr>
      <w:spacing w:lineRule="auto" w:line="240" w:before="0" w:after="0"/>
    </w:pPr>
    <w:rPr>
      <w:rFonts w:ascii="Times New Roman" w:hAnsi="Times New Roman" w:cs="Times New Roman"/>
      <w:sz w:val="24"/>
      <w:szCs w:val="24"/>
      <w:lang w:eastAsia="pl-PL"/>
    </w:rPr>
  </w:style>
  <w:style w:type="paragraph" w:styleId="Default" w:customStyle="1">
    <w:name w:val="Default"/>
    <w:qFormat/>
    <w:rsid w:val="001f48f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qFormat/>
    <w:rsid w:val="009c7721"/>
    <w:pPr>
      <w:spacing w:lineRule="auto" w:line="240" w:before="0" w:after="0"/>
    </w:pPr>
    <w:rPr>
      <w:sz w:val="20"/>
      <w:szCs w:val="20"/>
    </w:rPr>
  </w:style>
  <w:style w:type="paragraph" w:styleId="Eplus-kagv1x" w:customStyle="1">
    <w:name w:val="eplus-kagv1x"/>
    <w:basedOn w:val="Normal"/>
    <w:qFormat/>
    <w:rsid w:val="008365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Eplus-lfu8tk" w:customStyle="1">
    <w:name w:val="eplus-lfu8tk"/>
    <w:basedOn w:val="Normal"/>
    <w:qFormat/>
    <w:rsid w:val="008365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b0bb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-Siatka1">
    <w:name w:val="Tabela - Siatka1"/>
    <w:basedOn w:val="Standardowy"/>
    <w:uiPriority w:val="39"/>
    <w:rsid w:val="00d932e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boguszow-gorce.pl/" TargetMode="External"/><Relationship Id="rId4" Type="http://schemas.openxmlformats.org/officeDocument/2006/relationships/hyperlink" Target="http://www.bip.boguszow-gorce.pl/" TargetMode="External"/><Relationship Id="rId5" Type="http://schemas.openxmlformats.org/officeDocument/2006/relationships/hyperlink" Target="mailto:sekretariat@boguszow-gorce.pl" TargetMode="External"/><Relationship Id="rId6" Type="http://schemas.openxmlformats.org/officeDocument/2006/relationships/hyperlink" Target="mailto:rybinska.malgorzata@wp.pl" TargetMode="External"/><Relationship Id="rId7" Type="http://schemas.openxmlformats.org/officeDocument/2006/relationships/hyperlink" Target="mailto:audytor@boguszow-gorce.p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otnotes" Target="footnotes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<Relationship Id="rId15" Type="http://schemas.openxmlformats.org/officeDocument/2006/relationships/customXml" Target="../customXml/item2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wmf"/><Relationship Id="rId3" Type="http://schemas.openxmlformats.org/officeDocument/2006/relationships/image" Target="media/image3.wm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ArrayOfDocumentLink xmlns:xsi="http://www.w3.org/2001/XMLSchema-instance" xmlns:xsd="http://www.w3.org/2001/XMLSchema"/>
</file>

<file path=customXml/itemProps1.xml><?xml version="1.0" encoding="utf-8"?>
<ds:datastoreItem xmlns:ds="http://schemas.openxmlformats.org/officeDocument/2006/customXml" ds:itemID="{084A3B39-E465-45E4-9A35-2769CA1995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72FB46-88DA-466C-8EC1-1155B6414CA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LibreOffice/7.5.2.2$Windows_X86_64 LibreOffice_project/53bb9681a964705cf672590721dbc85eb4d0c3a2</Application>
  <AppVersion>15.0000</AppVersion>
  <Pages>4</Pages>
  <Words>1403</Words>
  <Characters>9478</Characters>
  <CharactersWithSpaces>11341</CharactersWithSpaces>
  <Paragraphs>88</Paragraphs>
  <Company>NFOSiGW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2023-03-16T14:06:00Z</dcterms:created>
  <dc:creator>Prezydent Miasta Walbrzycha</dc:creator>
  <dc:description/>
  <dc:language>pl-PL</dc:language>
  <cp:lastModifiedBy/>
  <cp:lastPrinted>2023-04-14T08:37:23Z</cp:lastPrinted>
  <dcterms:modified xsi:type="dcterms:W3CDTF">2024-09-10T11:47:18Z</dcterms:modified>
  <cp:revision>22</cp:revision>
  <dc:subject>Zarządzenie Nr 173/2023 z dnia 16 marca 2023 r. PREZYDENTA MIASTA WAŁBRZYCHA w sprawie ogloszenia naboru wnioskow o udzielenie dofinansowania na wymiane zrodel ciepla i poprawe efektywnosci energetycznej w lokalach mieszkalnych znajdujacych sie w budynkach mieszkalnych wielorodzinnych na terenie Gminy Walbrzych w ramach Programu Priorytetowego „Cieple Mieszkanie”</dc:subject>
  <dc:title>Zarzadzenie 173/2023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