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numPr>
          <w:ilvl w:val="3"/>
          <w:numId w:val="1"/>
        </w:numPr>
        <w:tabs>
          <w:tab w:val="clear" w:pos="709"/>
          <w:tab w:val="left" w:pos="0" w:leader="none"/>
        </w:tabs>
        <w:bidi w:val="0"/>
        <w:spacing w:lineRule="auto" w:line="240"/>
        <w:ind w:hanging="0" w:start="0" w:end="0"/>
        <w:jc w:val="center"/>
        <w:rPr>
          <w:rFonts w:cs="Tahoma"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cs="Tahoma"/>
          <w:b/>
          <w:bCs/>
          <w:i w:val="false"/>
          <w:iCs w:val="false"/>
          <w:sz w:val="24"/>
          <w:szCs w:val="24"/>
          <w:u w:val="single"/>
        </w:rPr>
      </w:r>
    </w:p>
    <w:p>
      <w:pPr>
        <w:pStyle w:val="Heading4"/>
        <w:numPr>
          <w:ilvl w:val="3"/>
          <w:numId w:val="1"/>
        </w:numPr>
        <w:tabs>
          <w:tab w:val="clear" w:pos="709"/>
          <w:tab w:val="left" w:pos="0" w:leader="none"/>
        </w:tabs>
        <w:bidi w:val="0"/>
        <w:spacing w:lineRule="auto" w:line="240"/>
        <w:ind w:hanging="0" w:start="0" w:end="0"/>
        <w:jc w:val="center"/>
        <w:rPr>
          <w:rFonts w:ascii="Times New Roman" w:hAnsi="Times New Roman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  <w:t>BURMISTRZ MIASTA BOGUSZOWA - GORC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</w:rPr>
      </w:pPr>
      <w:r>
        <w:rPr>
          <w:rFonts w:cs="Tahoma" w:ascii="Times New Roman" w:hAnsi="Times New Roman"/>
          <w:b/>
          <w:bCs/>
          <w:i w:val="false"/>
          <w:iCs w:val="false"/>
          <w:sz w:val="24"/>
          <w:szCs w:val="24"/>
          <w:u w:val="single"/>
        </w:rPr>
        <w:t xml:space="preserve">OGŁASZA </w:t>
      </w:r>
      <w:r>
        <w:rPr>
          <w:rFonts w:cs="Tahoma" w:ascii="Times New Roman" w:hAnsi="Times New Roman"/>
          <w:b/>
          <w:bCs/>
          <w:sz w:val="24"/>
          <w:szCs w:val="24"/>
          <w:u w:val="single"/>
        </w:rPr>
        <w:t xml:space="preserve">I PRZETARG USTNY NIEOGRANICZONY NA SPRZEDAŻ NIERUCHOMOŚCI 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 w:cs="Tahoma"/>
          <w:b/>
          <w:bCs/>
          <w:sz w:val="24"/>
          <w:szCs w:val="24"/>
          <w:u w:val="single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 w:cs="Tahoma"/>
          <w:b/>
          <w:bCs/>
          <w:sz w:val="24"/>
          <w:szCs w:val="24"/>
          <w:u w:val="single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 w:cs="Tahoma"/>
          <w:b/>
          <w:bCs/>
          <w:sz w:val="24"/>
          <w:szCs w:val="24"/>
          <w:u w:val="single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58"/>
        <w:gridCol w:w="2656"/>
        <w:gridCol w:w="1995"/>
        <w:gridCol w:w="2832"/>
        <w:gridCol w:w="1769"/>
        <w:gridCol w:w="1546"/>
        <w:gridCol w:w="2171"/>
        <w:gridCol w:w="943"/>
      </w:tblGrid>
      <w:tr>
        <w:trPr/>
        <w:tc>
          <w:tcPr>
            <w:tcW w:w="6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Lp.</w:t>
            </w:r>
          </w:p>
        </w:tc>
        <w:tc>
          <w:tcPr>
            <w:tcW w:w="26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Nazwa i adres nieruchomości</w:t>
            </w:r>
          </w:p>
        </w:tc>
        <w:tc>
          <w:tcPr>
            <w:tcW w:w="19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Numer działki i pow. w ha numer KW</w:t>
            </w:r>
          </w:p>
        </w:tc>
        <w:tc>
          <w:tcPr>
            <w:tcW w:w="28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Przeznaczenie w planie zagospodarowania przestrzennego</w:t>
            </w:r>
          </w:p>
        </w:tc>
        <w:tc>
          <w:tcPr>
            <w:tcW w:w="17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Cena wywoławcza brutto w zł.</w:t>
            </w:r>
          </w:p>
        </w:tc>
        <w:tc>
          <w:tcPr>
            <w:tcW w:w="15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Wadium w zł.</w:t>
            </w:r>
          </w:p>
        </w:tc>
        <w:tc>
          <w:tcPr>
            <w:tcW w:w="21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Forma zbycia nieruchomości</w:t>
            </w:r>
          </w:p>
        </w:tc>
        <w:tc>
          <w:tcPr>
            <w:tcW w:w="9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Godzina</w:t>
            </w:r>
          </w:p>
        </w:tc>
      </w:tr>
      <w:tr>
        <w:trPr>
          <w:trHeight w:val="1112" w:hRule="atLeast"/>
        </w:trPr>
        <w:tc>
          <w:tcPr>
            <w:tcW w:w="65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spacing w:before="57" w:after="57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1. </w:t>
            </w:r>
          </w:p>
        </w:tc>
        <w:tc>
          <w:tcPr>
            <w:tcW w:w="26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Nieruchomość niezabudowana położona przy </w:t>
            </w: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ul. Wysokiej 6</w:t>
            </w:r>
            <w:r>
              <w:rPr>
                <w:rFonts w:cs="Liberation Serif;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, obręb 7 Kuźnice Świdnickie</w:t>
            </w:r>
          </w:p>
        </w:tc>
        <w:tc>
          <w:tcPr>
            <w:tcW w:w="199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Działka numer</w:t>
            </w:r>
          </w:p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  <w:t>468</w:t>
            </w:r>
          </w:p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single"/>
              </w:rPr>
              <w:t>0,2732 ha</w:t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  <w:color w:val="auto"/>
                <w:sz w:val="18"/>
                <w:szCs w:val="18"/>
                <w:u w:val="none"/>
                <w:lang w:val="pl-PL" w:eastAsia="zxx" w:bidi="zxx"/>
              </w:rPr>
              <w:t>SW1W/00056576/4</w:t>
            </w:r>
          </w:p>
        </w:tc>
        <w:tc>
          <w:tcPr>
            <w:tcW w:w="28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kstpodstawowy3"/>
              <w:bidi w:val="0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eastAsia="Lucida Sans Unicode" w:cs="Times New Roman" w:ascii="Times New Roman" w:hAnsi="Times New Roman"/>
                <w:b w:val="false"/>
                <w:bCs w:val="false"/>
                <w:color w:val="auto"/>
                <w:sz w:val="18"/>
                <w:szCs w:val="18"/>
                <w:lang w:val="pl-PL" w:eastAsia="zxx" w:bidi="zxx"/>
              </w:rPr>
              <w:t>Teren zabudowy mieszkaniowej jednorodzinnej i wielorodzinnej oraz zabudowy usługowej</w:t>
            </w:r>
          </w:p>
          <w:p>
            <w:pPr>
              <w:pStyle w:val="Normal"/>
              <w:bidi w:val="0"/>
              <w:spacing w:lineRule="auto" w:line="36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auto"/>
                <w:sz w:val="18"/>
                <w:szCs w:val="18"/>
                <w:lang w:val="pl-PL" w:eastAsia="zxx" w:bidi="ar-SA"/>
              </w:rPr>
              <w:t>(symbol MU.22)</w:t>
            </w:r>
          </w:p>
        </w:tc>
        <w:tc>
          <w:tcPr>
            <w:tcW w:w="176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218.000,00</w:t>
            </w:r>
          </w:p>
        </w:tc>
        <w:tc>
          <w:tcPr>
            <w:tcW w:w="15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21.800,00</w:t>
            </w:r>
          </w:p>
        </w:tc>
        <w:tc>
          <w:tcPr>
            <w:tcW w:w="217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cs="Liberation Serif;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Sprzedaż na własność</w:t>
            </w:r>
          </w:p>
        </w:tc>
        <w:tc>
          <w:tcPr>
            <w:tcW w:w="94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9</w:t>
            </w:r>
            <w:r>
              <w:rPr>
                <w:rFonts w:ascii="Times New Roman" w:hAnsi="Times New Roman"/>
                <w:b/>
                <w:bCs/>
                <w:u w:val="single"/>
                <w:vertAlign w:val="superscript"/>
              </w:rPr>
              <w:t>00</w:t>
            </w:r>
          </w:p>
        </w:tc>
      </w:tr>
    </w:tbl>
    <w:p>
      <w:pPr>
        <w:pStyle w:val="Normal"/>
        <w:bidi w:val="0"/>
        <w:spacing w:lineRule="auto" w:line="240"/>
        <w:jc w:val="center"/>
        <w:rPr>
          <w:rFonts w:ascii="Times New Roman" w:hAnsi="Times New Roman" w:cs="Tahoma"/>
          <w:b/>
          <w:bCs/>
          <w:sz w:val="24"/>
          <w:szCs w:val="24"/>
          <w:u w:val="single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 w:cs="Tahoma"/>
          <w:b/>
          <w:bCs/>
          <w:sz w:val="24"/>
          <w:szCs w:val="24"/>
          <w:u w:val="single"/>
        </w:rPr>
      </w:pPr>
      <w:r>
        <w:rPr>
          <w:rFonts w:cs="Tahoma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P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  <w:lang w:bidi="zxx"/>
        </w:rPr>
        <w:t xml:space="preserve">rzetarg odbędzie się 2 grudnia 2026r. </w:t>
      </w:r>
      <w:r>
        <w:rPr>
          <w:rFonts w:eastAsia="Lucida Sans Unicode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w siedzibie Urzędu Miejskiego, 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pl. Odrodzenia 1, Boguszów-Gorce, w </w:t>
      </w:r>
      <w:r>
        <w:rPr>
          <w:rFonts w:eastAsia="Verdana" w:cs="Times New Roman" w:ascii="Times New Roman" w:hAnsi="Times New Roman"/>
          <w:b/>
          <w:bCs/>
          <w:i/>
          <w:iCs/>
          <w:color w:val="auto"/>
          <w:sz w:val="20"/>
          <w:szCs w:val="20"/>
          <w:u w:val="none"/>
          <w:lang w:val="pl-PL" w:eastAsia="zxx" w:bidi="zxx"/>
        </w:rPr>
        <w:t>Sali Konferencyjnej (sala 101)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 mieszczącej się na pierwszym piętrze budynku. </w:t>
      </w:r>
    </w:p>
    <w:p>
      <w:pPr>
        <w:pStyle w:val="Normal"/>
        <w:bidi w:val="0"/>
        <w:jc w:val="star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eastAsia="Verdana" w:cs="Times New Roman" w:ascii="Times New Roman" w:hAnsi="Times New Roman"/>
          <w:b w:val="false"/>
          <w:bCs w:val="false"/>
          <w:color w:val="auto"/>
          <w:sz w:val="20"/>
          <w:szCs w:val="20"/>
          <w:u w:val="none"/>
          <w:lang w:val="pl-PL" w:eastAsia="zxx" w:bidi="zxx"/>
        </w:rPr>
        <w:tab/>
        <w:t xml:space="preserve">Przetarg będzie ważny bez względu na liczbę uczestników, jeżeli chociaż jeden zakwalifikowany uczestnik zaoferuje cenę wyższą od ceny wywoławczej, o co najmniej jedno postąpienie. O wysokości postąpienia decydują uczestnicy przetargu z tym, że postąpienie nie może wynosić mniej niż </w:t>
      </w:r>
      <w:r>
        <w:rPr>
          <w:rFonts w:eastAsia="Verdana" w:cs="Times New Roman" w:ascii="Times New Roman" w:hAnsi="Times New Roman"/>
          <w:b/>
          <w:bCs/>
          <w:color w:val="auto"/>
          <w:sz w:val="20"/>
          <w:szCs w:val="20"/>
          <w:u w:val="none"/>
          <w:lang w:val="pl-PL" w:eastAsia="zxx" w:bidi="zxx"/>
        </w:rPr>
        <w:t xml:space="preserve">1% ceny wywoławczej, z zaokrągleniem do pełnych dziesiątek złotych.   </w:t>
      </w:r>
    </w:p>
    <w:p>
      <w:pPr>
        <w:pStyle w:val="Normal"/>
        <w:bidi w:val="0"/>
        <w:spacing w:lineRule="auto" w:line="276"/>
        <w:ind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iCs w:val="false"/>
          <w:sz w:val="20"/>
          <w:szCs w:val="20"/>
          <w:lang w:bidi="zxx"/>
        </w:rPr>
        <w:tab/>
        <w:t xml:space="preserve">Nieruchomość będąca przedmiotem przetargu jest wolna od zobowiązań na rzecz osób trzecich. </w:t>
      </w:r>
    </w:p>
    <w:p>
      <w:pPr>
        <w:pStyle w:val="Normal"/>
        <w:bidi w:val="0"/>
        <w:spacing w:lineRule="auto" w:line="276"/>
        <w:ind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lang w:bidi="zxx"/>
        </w:rPr>
        <w:tab/>
        <w:t xml:space="preserve">Forma zbycia – własność. 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Cena za nieruchomość płatna przelewem w ciągu miesiąca od daty wygrania przetargu. </w:t>
      </w:r>
      <w:r>
        <w:rPr>
          <w:rFonts w:cs="Times New Roman" w:ascii="Times New Roman" w:hAnsi="Times New Roman"/>
          <w:b/>
          <w:sz w:val="20"/>
          <w:szCs w:val="20"/>
          <w:lang w:bidi="zxx"/>
        </w:rPr>
        <w:t>Nabywca ponosi koszty notarialne i sądowe.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 Ponadto nabywca ponosi koszty przygotowania dokumentacji, które są wliczone w cenę wywoławczą. Wadium</w:t>
      </w:r>
      <w:r>
        <w:rPr>
          <w:rFonts w:cs="Times New Roman" w:ascii="Times New Roman" w:hAnsi="Times New Roman"/>
          <w:b/>
          <w:sz w:val="20"/>
          <w:szCs w:val="20"/>
          <w:lang w:bidi="zxx"/>
        </w:rPr>
        <w:t xml:space="preserve"> </w:t>
      </w:r>
      <w:r>
        <w:rPr>
          <w:rFonts w:cs="Times New Roman" w:ascii="Times New Roman" w:hAnsi="Times New Roman"/>
          <w:sz w:val="20"/>
          <w:szCs w:val="20"/>
          <w:lang w:bidi="zxx"/>
        </w:rPr>
        <w:t xml:space="preserve">zostanie zaliczone na poczet ceny nabycia nieruchomości. </w:t>
      </w:r>
      <w:r>
        <w:rPr>
          <w:rFonts w:cs="Times New Roman" w:ascii="Times New Roman" w:hAnsi="Times New Roman"/>
          <w:i w:val="false"/>
          <w:iCs w:val="false"/>
          <w:sz w:val="20"/>
          <w:szCs w:val="20"/>
          <w:lang w:bidi="zxx"/>
        </w:rPr>
        <w:t>Je</w:t>
      </w: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 xml:space="preserve">żeli osoba ustalona jako nabywca nie przystąpi bez usprawiedliwienia do zawarcia umowy w miejscu i terminie podanych w zawiadomieniu lub nie dokona zapłaty ceny nieruchomości na dzień przed ustaloną datą zawarcia umowy przenoszącej własność, Burmistrz Miasta może odstąpić od zawarcia umowy, a wpłacone wadium nie podlega zwrotowi. </w:t>
      </w:r>
    </w:p>
    <w:p>
      <w:pPr>
        <w:pStyle w:val="NormalnyWeb"/>
        <w:bidi w:val="0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u w:val="none"/>
        </w:rPr>
        <w:tab/>
      </w:r>
    </w:p>
    <w:p>
      <w:pPr>
        <w:pStyle w:val="Normal"/>
        <w:bidi w:val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I. Warunkiem wzięcia udziału w przetargu jest:</w:t>
      </w:r>
    </w:p>
    <w:p>
      <w:pPr>
        <w:pStyle w:val="Normal"/>
        <w:numPr>
          <w:ilvl w:val="5"/>
          <w:numId w:val="2"/>
        </w:numPr>
        <w:tabs>
          <w:tab w:val="clear" w:pos="709"/>
          <w:tab w:val="left" w:pos="-1620" w:leader="none"/>
          <w:tab w:val="left" w:pos="360" w:leader="none"/>
        </w:tabs>
        <w:bidi w:val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Wpłacenie wadium w pieniądzu PLN ze wskazaniem nieruchomości, na rachunek </w:t>
      </w:r>
      <w:r>
        <w:rPr>
          <w:rFonts w:cs="Times New Roman" w:ascii="Times New Roman" w:hAnsi="Times New Roman"/>
          <w:b/>
          <w:sz w:val="20"/>
          <w:szCs w:val="20"/>
        </w:rPr>
        <w:t xml:space="preserve">Gminy Boguszów-Gorce Nr: </w:t>
      </w:r>
      <w:r>
        <w:rPr>
          <w:rFonts w:cs="Times New Roman" w:ascii="Times New Roman" w:hAnsi="Times New Roman"/>
          <w:b/>
          <w:sz w:val="20"/>
          <w:szCs w:val="20"/>
          <w:u w:val="single"/>
        </w:rPr>
        <w:t>05 1020 5095 0000 5402 0011 4231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w terminie do </w:t>
        <w:br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27</w:t>
      </w:r>
      <w:r>
        <w:rPr>
          <w:rFonts w:eastAsia="Lucida Sans Unicode" w:cs="Times New Roman" w:ascii="Times New Roman" w:hAnsi="Times New Roman"/>
          <w:b/>
          <w:bCs/>
          <w:color w:val="auto"/>
          <w:kern w:val="2"/>
          <w:sz w:val="20"/>
          <w:szCs w:val="20"/>
          <w:u w:val="single"/>
          <w:lang w:val="pl-PL" w:eastAsia="zh-CN" w:bidi="ar-SA"/>
        </w:rPr>
        <w:t xml:space="preserve"> listopada 2</w:t>
      </w:r>
      <w:r>
        <w:rPr>
          <w:rFonts w:cs="Times New Roman" w:ascii="Times New Roman" w:hAnsi="Times New Roman"/>
          <w:b/>
          <w:sz w:val="20"/>
          <w:szCs w:val="20"/>
          <w:u w:val="single"/>
        </w:rPr>
        <w:t xml:space="preserve">026r. </w:t>
      </w:r>
      <w:r>
        <w:rPr>
          <w:rFonts w:cs="Times New Roman" w:ascii="Times New Roman" w:hAnsi="Times New Roman"/>
          <w:b/>
          <w:sz w:val="20"/>
          <w:szCs w:val="20"/>
        </w:rPr>
        <w:t xml:space="preserve">Datą dokonania wpłaty wadium jest data uznania na rachunku bankowym Gminy </w:t>
      </w:r>
      <w:r>
        <w:rPr>
          <w:rFonts w:cs="Times New Roman" w:ascii="Times New Roman" w:hAnsi="Times New Roman"/>
          <w:b/>
          <w:bCs/>
          <w:sz w:val="20"/>
          <w:szCs w:val="20"/>
        </w:rPr>
        <w:t>Boguszów-Gorce,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po tym czasie osoby </w:t>
      </w:r>
      <w:r>
        <w:rPr>
          <w:rFonts w:cs="Times New Roman" w:ascii="Times New Roman" w:hAnsi="Times New Roman"/>
          <w:sz w:val="20"/>
          <w:szCs w:val="20"/>
        </w:rPr>
        <w:t>nie zostaną dopuszczone do udziału w przetargu.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</w:p>
    <w:p>
      <w:pPr>
        <w:pStyle w:val="Normal"/>
        <w:tabs>
          <w:tab w:val="clear" w:pos="709"/>
          <w:tab w:val="left" w:pos="-1620" w:leader="none"/>
          <w:tab w:val="left" w:pos="360" w:leader="none"/>
        </w:tabs>
        <w:bidi w:val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i/>
          <w:iCs/>
          <w:sz w:val="20"/>
          <w:szCs w:val="20"/>
          <w:u w:val="none"/>
          <w:lang w:bidi="zxx"/>
        </w:rPr>
        <w:tab/>
        <w:t>W tytule przelewu konieczne jest określenie nieruchomości, na sprzedaż, której wadium jest wpłacone oraz określenie podmiotu, który przystąpi do przetargu i na rzecz, którego nastąpi zbycie nieruchomości.</w:t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</w:r>
    </w:p>
    <w:p>
      <w:pPr>
        <w:pStyle w:val="Normal"/>
        <w:tabs>
          <w:tab w:val="clear" w:pos="709"/>
          <w:tab w:val="left" w:pos="36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II. Uczestnik przetargu przedkłada komisji przetargowej przed otwarciem przetargu na sprzedaż nieruchomości dokumenty: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Oświadczenie o zapoznaniu się z przedmiotami przetargu, warunkami przetargowymi i przyjęciu ich bez zastrzeżeń.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Oświadczenie o wyrażeniu zgody na przetwarzanie swoich danych osobowych w zakresie niezbędnym do przeprowadzenia procedury sprzedaży nieruchomości będącej przedmiotem przetargu, zgodnie z przepisami ustawy z dnia 21 sierpnia 1997 r. o gospodarce nieruchomościami (Dz. U z 2026 r., poz.399 ze zm.) oraz Rozporządzeniem Rady Ministrów z dnia 14 września 2004 r. w sprawie sposobu i trybu przeprowadzania przetargów oraz rokowań na zbycie nieruchomości (Dz. U.</w:t>
        <w:br/>
        <w:t>z 2021 r., poz. 2213).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Okazanie dowodu tożsamości w dniu przetargu.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Uczestnicy biorą </w:t>
      </w:r>
      <w:r>
        <w:rPr>
          <w:rFonts w:cs="Times New Roman" w:ascii="Times New Roman" w:hAnsi="Times New Roman"/>
          <w:b/>
          <w:sz w:val="20"/>
          <w:szCs w:val="20"/>
        </w:rPr>
        <w:t>udział w przetargu osobiście lub przez pełnomocnika</w:t>
      </w:r>
      <w:r>
        <w:rPr>
          <w:rFonts w:cs="Times New Roman" w:ascii="Times New Roman" w:hAnsi="Times New Roman"/>
          <w:sz w:val="20"/>
          <w:szCs w:val="20"/>
        </w:rPr>
        <w:t xml:space="preserve">. </w:t>
      </w:r>
      <w:r>
        <w:rPr>
          <w:rFonts w:cs="Times New Roman" w:ascii="Times New Roman" w:hAnsi="Times New Roman"/>
          <w:sz w:val="20"/>
          <w:szCs w:val="20"/>
          <w:u w:val="single"/>
        </w:rPr>
        <w:t xml:space="preserve">Pełnomocnictwo </w:t>
      </w:r>
      <w:r>
        <w:rPr>
          <w:rFonts w:cs="Times New Roman" w:ascii="Times New Roman" w:hAnsi="Times New Roman"/>
          <w:sz w:val="20"/>
          <w:szCs w:val="20"/>
        </w:rPr>
        <w:t>wymaga formy pisemnej sporządzonej przez notariusza i winno być przedłożone wraz z potwierdzeniem wniesienia opłaty skarbowej z tytułu pełnomocnictwa – na podstawie przepisów ustawy z dnia  16 listopada 2006 r. o opłacie skarbowej (Dz. U.</w:t>
        <w:br/>
        <w:t xml:space="preserve"> z 2025 r. poz. 2154) w Wydziale Gospodarki Nieruchomościami Urzędu Miejskiego w Boguszowie – Gorcach, II piętro pokój 208, 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najpóźniej do dnia 1 grudnia 2026r. </w:t>
      </w:r>
      <w:r>
        <w:rPr>
          <w:rFonts w:cs="Times New Roman" w:ascii="Times New Roman" w:hAnsi="Times New Roman"/>
          <w:sz w:val="20"/>
          <w:szCs w:val="20"/>
        </w:rPr>
        <w:t xml:space="preserve">Osoby, które nie dostarczą dokumentów w terminie </w:t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do dnia 1 grudnia 2026r. nie zostaną dopuszczone do uczestnictwa  w przetargu</w:t>
      </w:r>
      <w:r>
        <w:rPr>
          <w:rFonts w:cs="Times New Roman" w:ascii="Times New Roman" w:hAnsi="Times New Roman"/>
          <w:b/>
          <w:bCs/>
          <w:sz w:val="20"/>
          <w:szCs w:val="20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Nabycie nieruchomości przez cudzoziemców może nastąpić w przypadku uzyskania zezwolenia Ministra Spraw Wewnętrznych i Administracji, jeżeli wymagają tego       przepisy ustawy z dnia 24 marca 1920 r. o nabywaniu nieruchomości przez cudzoziemców (Dz. U. z 2017 r. poz. 2278 ze zm.). Nabywca zobowiązany jest do ustalenia, </w:t>
        <w:br/>
        <w:t>we własnym zakresie, czy nabycie nieruchomości będącej przedmiotem przetargu wymaga zezwolenia, o którym mowa powyżej.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-1620" w:leader="none"/>
          <w:tab w:val="left" w:pos="360" w:leader="none"/>
        </w:tabs>
        <w:suppressAutoHyphens w:val="false"/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Przedłożyć - w przypadku osób prawnych oraz innych podmiotów nie posiadających osobowości prawnej, a podlegających rejestracji – aktualny odpis z Krajowego </w:t>
        <w:br/>
        <w:t>Rejestru Sądowego bądź aktualną informację z Centralnej Informacji Krajowego Rejestru Sądowego oraz właściwe pełnomocnictwa osób reprezentujących podmiot.</w:t>
      </w:r>
    </w:p>
    <w:p>
      <w:pPr>
        <w:pStyle w:val="Normal"/>
        <w:numPr>
          <w:ilvl w:val="0"/>
          <w:numId w:val="2"/>
        </w:numPr>
        <w:bidi w:val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Przedłożyć - w przypadku wspólników spółki cywilnej – umowę spółki wraz z aktualnymi zaświadczeniami o wpisie do Centralnej Ewidencji i Informacji o Działalności Gospodarczej RP.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III. Wpłacone przez uczestnika przetargu wadium podlega: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-</w:t>
      </w:r>
      <w:r>
        <w:rPr>
          <w:rFonts w:cs="Times New Roman" w:ascii="Times New Roman" w:hAnsi="Times New Roman"/>
          <w:b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>zaliczeniu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 na poczet ceny nabycia nieruchomości w przypadku wygrania przetargu,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-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przepadkowi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w razie uchylenia się uczestnika, który wygrał przetarg od zawarcia umowy sprzedaży w terminie określonym przez organizatora przetargu, 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- </w:t>
      </w:r>
      <w:r>
        <w:rPr>
          <w:rFonts w:cs="Times New Roman" w:ascii="Times New Roman" w:hAnsi="Times New Roman"/>
          <w:b/>
          <w:bCs/>
          <w:sz w:val="20"/>
          <w:szCs w:val="20"/>
        </w:rPr>
        <w:t>zwrotowi</w:t>
      </w:r>
      <w:r>
        <w:rPr>
          <w:rFonts w:cs="Times New Roman" w:ascii="Times New Roman" w:hAnsi="Times New Roman"/>
          <w:sz w:val="20"/>
          <w:szCs w:val="20"/>
        </w:rPr>
        <w:t xml:space="preserve"> – uczestnikom przetargu, którzy przetargu nie wygrają, po uprzedniej pisemnej dyspozycji wpłacającego. Wypłata wadium nastąpi na wskazane konto.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0"/>
          <w:szCs w:val="20"/>
          <w:u w:val="single"/>
        </w:rPr>
        <w:t>IV. Informacje dodatkowe: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b w:val="false"/>
          <w:bCs w:val="false"/>
          <w:w w:val="101"/>
          <w:u w:val="single"/>
          <w:lang w:bidi="zxx"/>
        </w:rPr>
        <w:t xml:space="preserve">- </w:t>
      </w:r>
      <w:r>
        <w:rPr>
          <w:rFonts w:eastAsia="Times New Roman" w:ascii="Times New Roman" w:hAnsi="Times New Roman"/>
          <w:b/>
          <w:bCs/>
          <w:w w:val="101"/>
          <w:sz w:val="20"/>
          <w:szCs w:val="20"/>
          <w:u w:val="single"/>
          <w:lang w:bidi="zxx"/>
        </w:rPr>
        <w:t>w przetargu nie mogą brać udziału podmioty (osoby) posiadające jakiekolwiek zaległości wobec gminy,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  <w:b w:val="false"/>
          <w:bCs w:val="false"/>
          <w:u w:val="none"/>
        </w:rPr>
      </w:pPr>
      <w:r>
        <w:rPr>
          <w:rFonts w:eastAsia="Times New Roman" w:ascii="Times New Roman" w:hAnsi="Times New Roman"/>
          <w:b w:val="false"/>
          <w:bCs w:val="false"/>
          <w:w w:val="101"/>
          <w:sz w:val="20"/>
          <w:szCs w:val="20"/>
          <w:u w:val="none"/>
          <w:lang w:bidi="zxx"/>
        </w:rPr>
        <w:t>- nieruchomość objęta ogłoszeniem jest uzbrojona,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  <w:b w:val="false"/>
          <w:bCs w:val="false"/>
          <w:sz w:val="20"/>
          <w:szCs w:val="20"/>
          <w:u w:val="none"/>
        </w:rPr>
      </w:pPr>
      <w:r>
        <w:rPr>
          <w:rFonts w:eastAsia="Times New Roman" w:ascii="Times New Roman" w:hAnsi="Times New Roman"/>
          <w:b w:val="false"/>
          <w:bCs w:val="false"/>
          <w:w w:val="101"/>
          <w:sz w:val="20"/>
          <w:szCs w:val="20"/>
          <w:u w:val="none"/>
          <w:lang w:bidi="zxx"/>
        </w:rPr>
        <w:t>- możliwość przyłączenia nieruchomości do poszczególnych sieci oraz warunki techniczne przyłączenia wymagają potwierdzenia właściwych gestorów sieci,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  <w:b w:val="false"/>
          <w:bCs w:val="false"/>
          <w:sz w:val="20"/>
          <w:szCs w:val="20"/>
          <w:u w:val="none"/>
        </w:rPr>
      </w:pPr>
      <w:r>
        <w:rPr>
          <w:rFonts w:ascii="Times New Roman" w:hAnsi="Times New Roman"/>
          <w:b w:val="false"/>
          <w:bCs w:val="false"/>
          <w:sz w:val="20"/>
          <w:szCs w:val="20"/>
          <w:u w:val="none"/>
        </w:rPr>
        <w:t xml:space="preserve">- istniejący na działce drzewostan podlega ochronie na podstawie ustawy z dnia 16 kwietnia 2004 roku o ochronie przyrody (Dz. U. z 2026 r. poz. 13 ze zm.). Informacje na temat usunięcia drzew lub krzewów z terenu nieruchomości można uzyskać w Wydziale Ochrony Środowiska tut Urzędu Miasta. 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0"/>
          <w:szCs w:val="20"/>
        </w:rPr>
        <w:t>- n</w:t>
      </w:r>
      <w:r>
        <w:rPr>
          <w:rFonts w:cs="Times New Roman" w:ascii="Times New Roman" w:hAnsi="Times New Roman"/>
          <w:sz w:val="20"/>
          <w:szCs w:val="20"/>
        </w:rPr>
        <w:t xml:space="preserve">abywca nieruchomości ustalony w przetargu zobowiązany jest dokonać </w:t>
      </w:r>
      <w:r>
        <w:rPr>
          <w:rFonts w:cs="Times New Roman" w:ascii="Times New Roman" w:hAnsi="Times New Roman"/>
          <w:b/>
          <w:sz w:val="20"/>
          <w:szCs w:val="20"/>
        </w:rPr>
        <w:t xml:space="preserve">zapłaty ceny nieruchomości na dzień przed wyznaczoną datą zawarcia umowy notarialnej </w:t>
      </w:r>
      <w:r>
        <w:rPr>
          <w:rFonts w:cs="Times New Roman" w:ascii="Times New Roman" w:hAnsi="Times New Roman"/>
          <w:sz w:val="20"/>
          <w:szCs w:val="20"/>
        </w:rPr>
        <w:t xml:space="preserve">na konto Gminy Boguszów- Gorce wskazane w protokole z przetargu. </w:t>
      </w:r>
      <w:r>
        <w:rPr>
          <w:rFonts w:cs="Times New Roman" w:ascii="Times New Roman" w:hAnsi="Times New Roman"/>
          <w:b/>
          <w:bCs/>
          <w:sz w:val="20"/>
          <w:szCs w:val="20"/>
        </w:rPr>
        <w:t>Datą dokonania wpłaty jest data uznania wpływu na rachunek bankowy Gminy Boguszów- Gorce,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- uczestnik przetargu może, w terminie 7 dni od dnia ogłoszenia wyniku przetargu zaskarżyć czynności związane z przeprowadzeniem przetargu do Burmistrza Miasta Boguszowa – Gorc. Gmina Boguszów – Gorce zawiadomi osobę ustaloną, jako nabywcę o miejscu i terminie zawarcia umowy sprzedaży najpóźniej w ciągu 21 dni od dnia rozstrzygnięcia przetarg,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w w:val="101"/>
          <w:sz w:val="20"/>
          <w:szCs w:val="20"/>
          <w:u w:val="none"/>
          <w:lang w:bidi="zxx"/>
        </w:rPr>
        <w:t xml:space="preserve">- </w:t>
      </w:r>
      <w:r>
        <w:rPr>
          <w:rFonts w:eastAsia="Times New Roman" w:cs="Times New Roman" w:ascii="Times New Roman" w:hAnsi="Times New Roman"/>
          <w:b/>
          <w:bCs w:val="false"/>
          <w:i/>
          <w:iCs/>
          <w:w w:val="101"/>
          <w:sz w:val="20"/>
          <w:szCs w:val="20"/>
          <w:u w:val="none"/>
          <w:lang w:bidi="zxx"/>
        </w:rPr>
        <w:t>Gmina Miasto Boguszów - Gorce oświadcza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w w:val="101"/>
          <w:sz w:val="20"/>
          <w:szCs w:val="20"/>
          <w:u w:val="none"/>
          <w:lang w:bidi="zxx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Cs/>
          <w:w w:val="101"/>
          <w:sz w:val="20"/>
          <w:szCs w:val="20"/>
          <w:u w:val="none"/>
          <w:lang w:bidi="zxx"/>
        </w:rPr>
        <w:t xml:space="preserve">że nieruchomość będąca przedmiotem sprzedaży, sprzedawana jest zgodnie z wypisem z ewidencji gruntów wydanych przez Starostę Wałbrzyskiego, a wyłoniony nabywca </w:t>
      </w:r>
      <w:r>
        <w:rPr>
          <w:rFonts w:eastAsia="Times New Roman" w:cs="Times New Roman" w:ascii="Times New Roman" w:hAnsi="Times New Roman"/>
          <w:b/>
          <w:bCs w:val="false"/>
          <w:iCs/>
          <w:w w:val="101"/>
          <w:sz w:val="20"/>
          <w:szCs w:val="20"/>
          <w:u w:val="none"/>
          <w:lang w:bidi="zxx"/>
        </w:rPr>
        <w:t>oświadczy, że</w:t>
      </w:r>
      <w:r>
        <w:rPr>
          <w:rFonts w:eastAsia="Times New Roman" w:cs="Times New Roman" w:ascii="Times New Roman" w:hAnsi="Times New Roman"/>
          <w:b w:val="false"/>
          <w:bCs w:val="false"/>
          <w:iCs/>
          <w:w w:val="101"/>
          <w:sz w:val="20"/>
          <w:szCs w:val="20"/>
          <w:u w:val="none"/>
          <w:lang w:bidi="zxx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Cs/>
          <w:w w:val="101"/>
          <w:sz w:val="20"/>
          <w:szCs w:val="20"/>
          <w:u w:val="none"/>
          <w:lang w:bidi="zxx"/>
        </w:rPr>
        <w:t xml:space="preserve">nie będzie występował z żadnymi roszczeniami wobec Gminy Boguszów – Gorce z tytułu ewentualnej niezgodności </w:t>
        <w:br/>
        <w:t>z zakresu ewentualnej różnicy powierzchni sprzedawanych nieruchomości, jeżeli po sprzedaży geodeta wskaże inną, niż jest to oznaczone w wyżej wymienionym dokumencie.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shd w:fill="auto" w:val="clear"/>
          <w:vertAlign w:val="baseline"/>
          <w:lang w:bidi="zxx"/>
        </w:rPr>
        <w:t>- działka posiada bezpośredni dostęp do drogi – działka 348 obręb 7 Kuźnice Świdnickie w Boguszowie-Gorcach.</w:t>
      </w:r>
    </w:p>
    <w:p>
      <w:pPr>
        <w:pStyle w:val="Normal"/>
        <w:tabs>
          <w:tab w:val="clear" w:pos="709"/>
          <w:tab w:val="left" w:pos="0" w:leader="none"/>
        </w:tabs>
        <w:bidi w:val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bCs w:val="false"/>
          <w:w w:val="101"/>
          <w:sz w:val="20"/>
          <w:szCs w:val="20"/>
        </w:rPr>
        <w:t xml:space="preserve">- </w:t>
      </w:r>
      <w:r>
        <w:rPr>
          <w:rFonts w:cs="Times New Roman" w:ascii="Times New Roman" w:hAnsi="Times New Roman"/>
          <w:b/>
          <w:bCs/>
          <w:w w:val="101"/>
          <w:sz w:val="20"/>
          <w:szCs w:val="20"/>
        </w:rPr>
        <w:t>cena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 za nieruchomość płatna jest w pieniądzu PLN. </w:t>
      </w:r>
      <w:r>
        <w:rPr>
          <w:rFonts w:cs="Times New Roman" w:ascii="Times New Roman" w:hAnsi="Times New Roman"/>
          <w:i w:val="false"/>
          <w:iCs w:val="false"/>
          <w:w w:val="101"/>
          <w:sz w:val="20"/>
          <w:szCs w:val="20"/>
          <w:u w:val="none"/>
        </w:rPr>
        <w:t>N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abywca uiszcza jednorazowo całość kwoty osiągniętej w przetargu pomniejszonej o wpłacone wadium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na rachunek Gminy Boguszów-Gorce numer: </w:t>
      </w:r>
      <w:r>
        <w:rPr>
          <w:rFonts w:eastAsia="Lucida Sans Unicode" w:cs="Times New Roman" w:ascii="Times New Roman" w:hAnsi="Times New Roman"/>
          <w:b/>
          <w:bCs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>18 1020 3668 0000 5002 0509 9033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position w:val="0"/>
          <w:sz w:val="20"/>
          <w:sz w:val="20"/>
          <w:szCs w:val="20"/>
          <w:u w:val="none"/>
          <w:vertAlign w:val="baseline"/>
        </w:rPr>
        <w:t xml:space="preserve">odpowiednio wcześniej, tak, aby w chwili zawarcia umowy notarialnej środki pieniężne znajdowały się na rachunku Gminy Boguszów - Gorce. 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 Nabywca ponosi koszty: sądowe, notarialne oraz przygotowania dokumentacji,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 xml:space="preserve">- po nabyciu nieruchomości nabywca zobowiązany jest do złożenia w Wydziale Budżetu i Finansów Urzędu  Miejskiego w Boguszowie - Gorcach  deklaracji w zakresie podatku od </w:t>
      </w: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>nieruchomości,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iCs w:val="false"/>
          <w:sz w:val="20"/>
          <w:szCs w:val="20"/>
        </w:rPr>
        <w:t xml:space="preserve">- Burmistrz Miasta Boguszowa-Gorc może odwołać przetarg jedynie z ważnych powodów, niezwłocznie podając informację o odwołaniu przetargu do publicznej wiadomości, poprzez wywieszenie w siedzibie Urzędu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0"/>
          <w:szCs w:val="20"/>
          <w:u w:val="none"/>
        </w:rPr>
        <w:t>oraz publikacji w Biuletynie Informacji Publicznej Urzędu Miasta podając przyczynę odwołania przetargu,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0"/>
          <w:szCs w:val="20"/>
          <w:u w:val="none"/>
        </w:rPr>
        <w:t>- o</w:t>
      </w:r>
      <w:r>
        <w:rPr>
          <w:rFonts w:cs="Times New Roman" w:ascii="Times New Roman" w:hAnsi="Times New Roman"/>
          <w:sz w:val="20"/>
          <w:szCs w:val="20"/>
        </w:rPr>
        <w:t xml:space="preserve">głoszenie o przetargu zostanie wywieszone na tablicy ogłoszeń w siedzibie Urzędu Miasta i na tablicach informacyjnych rozmieszczonych na terenie gminy Boguszów – Gorce </w:t>
      </w:r>
      <w:hyperlink r:id="rId2">
        <w:r>
          <w:rPr>
            <w:rStyle w:val="Hyperlink"/>
            <w:rFonts w:cs="Times New Roman" w:ascii="Times New Roman" w:hAnsi="Times New Roman"/>
            <w:sz w:val="20"/>
            <w:szCs w:val="20"/>
          </w:rPr>
          <w:t>www.bip.boguszow-gorce.pl</w:t>
        </w:r>
      </w:hyperlink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w w:val="101"/>
          <w:sz w:val="20"/>
          <w:szCs w:val="20"/>
        </w:rPr>
        <w:t xml:space="preserve">Bliższych informacji o przetargu udziela </w:t>
      </w:r>
      <w:r>
        <w:rPr>
          <w:rFonts w:cs="Times New Roman" w:ascii="Times New Roman" w:hAnsi="Times New Roman"/>
          <w:color w:val="000000"/>
          <w:w w:val="101"/>
          <w:sz w:val="20"/>
          <w:szCs w:val="20"/>
        </w:rPr>
        <w:t>Wydział Gospodarki Nieruchomościami Urzędu Miejskiego, pokój Nr 208, telefonicznie, n</w:t>
      </w:r>
      <w:r>
        <w:rPr>
          <w:rFonts w:cs="Times New Roman" w:ascii="Times New Roman" w:hAnsi="Times New Roman"/>
          <w:b/>
          <w:color w:val="000000"/>
          <w:w w:val="101"/>
          <w:sz w:val="20"/>
          <w:szCs w:val="20"/>
        </w:rPr>
        <w:t xml:space="preserve">r 74-84-49-311 wew. 74.            </w:t>
      </w:r>
      <w:r>
        <w:rPr>
          <w:rFonts w:cs="Times New Roman" w:ascii="Times New Roman" w:hAnsi="Times New Roman"/>
          <w:b/>
          <w:color w:val="FFFFFF"/>
          <w:w w:val="101"/>
          <w:sz w:val="20"/>
          <w:szCs w:val="20"/>
        </w:rPr>
        <w:t xml:space="preserve">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sz w:val="16"/>
          <w:szCs w:val="16"/>
          <w:lang w:val="pl-PL" w:eastAsia="zxx" w:bidi="ar-SA"/>
        </w:rPr>
        <w:t xml:space="preserve">Sporządziła: Monika Janusz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w w:val="101"/>
          <w:sz w:val="16"/>
          <w:szCs w:val="16"/>
          <w:u w:val="none"/>
          <w:lang w:val="pl-PL" w:eastAsia="zxx" w:bidi="ar-SA"/>
        </w:rPr>
        <w:t>Boguszów-Gorce, dnia 27.10.2026r.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 xml:space="preserve">   </w:t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</w:r>
    </w:p>
    <w:p>
      <w:pPr>
        <w:pStyle w:val="Normal"/>
        <w:tabs>
          <w:tab w:val="clear" w:pos="709"/>
          <w:tab w:val="left" w:pos="6692" w:leader="none"/>
        </w:tabs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ind w:start="7937" w:end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 w:eastAsia="zxx" w:bidi="ar-SA"/>
        </w:rPr>
        <w:t xml:space="preserve">Z up.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lang w:val="pl-PL" w:eastAsia="zxx" w:bidi="ar-SA"/>
        </w:rPr>
        <w:t xml:space="preserve">Burmistrza Miasta 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ind w:start="7937" w:end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 xml:space="preserve">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eastAsia="zxx"/>
        </w:rPr>
        <w:t>Boguszowa – Gorc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ind w:start="7937" w:end="0"/>
        <w:jc w:val="both"/>
        <w:rPr/>
      </w:pP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eastAsia="zxx"/>
        </w:rPr>
        <w:t xml:space="preserve">     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eastAsia="zxx"/>
        </w:rPr>
        <w:t>Paweł Sosialuk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ind w:start="7937" w:end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 w:eastAsia="zxx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 w:eastAsia="zxx" w:bidi="ar-SA"/>
        </w:rPr>
        <w:t xml:space="preserve">Z-ca Burmistrza Miasta </w:t>
      </w:r>
    </w:p>
    <w:p>
      <w:pPr>
        <w:pStyle w:val="NormalnyWeb"/>
        <w:spacing w:before="0" w:after="0"/>
        <w:jc w:val="both"/>
        <w:rPr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Wingdings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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bullet"/>
      <w:lvlText w:val=""/>
      <w:lvlJc w:val="start"/>
      <w:pPr>
        <w:tabs>
          <w:tab w:val="num" w:pos="252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color w:val="000000"/>
      <w:sz w:val="36"/>
    </w:rPr>
  </w:style>
  <w:style w:type="paragraph" w:styleId="Heading3">
    <w:name w:val="heading 3"/>
    <w:basedOn w:val="Normal"/>
    <w:next w:val="Normal"/>
    <w:qFormat/>
    <w:pPr>
      <w:keepNext w:val="true"/>
      <w:ind w:hanging="0" w:start="0" w:end="0"/>
      <w:jc w:val="center"/>
      <w:outlineLvl w:val="2"/>
    </w:pPr>
    <w:rPr>
      <w:rFonts w:ascii="Arial" w:hAnsi="Arial" w:cs="Arial"/>
      <w:sz w:val="40"/>
    </w:rPr>
  </w:style>
  <w:style w:type="paragraph" w:styleId="Heading4">
    <w:name w:val="heading 4"/>
    <w:basedOn w:val="Normal"/>
    <w:next w:val="Normal"/>
    <w:qFormat/>
    <w:pPr>
      <w:keepNext w:val="true"/>
      <w:outlineLvl w:val="3"/>
    </w:pPr>
    <w:rPr>
      <w:sz w:val="28"/>
    </w:rPr>
  </w:style>
  <w:style w:type="paragraph" w:styleId="Heading6">
    <w:name w:val="heading 6"/>
    <w:basedOn w:val="Normal"/>
    <w:next w:val="Normal"/>
    <w:qFormat/>
    <w:pPr>
      <w:keepNext w:val="true"/>
      <w:numPr>
        <w:ilvl w:val="0"/>
        <w:numId w:val="0"/>
      </w:numPr>
      <w:jc w:val="center"/>
      <w:outlineLvl w:val="5"/>
    </w:pPr>
    <w:rPr>
      <w:b/>
      <w:sz w:val="16"/>
    </w:rPr>
  </w:style>
  <w:style w:type="character" w:styleId="DefaultParagraphFont1">
    <w:name w:val="Default Paragraph Font1"/>
    <w:qFormat/>
    <w:rPr>
      <w:rFonts w:ascii="Times New Roman" w:hAnsi="Times New Roman" w:cs="Times New Roman"/>
      <w:color w:val="000000"/>
      <w:sz w:val="22"/>
      <w:shd w:fill="FFFFFF" w:val="clear"/>
    </w:rPr>
  </w:style>
  <w:style w:type="character" w:styleId="DefaultParagraphFont">
    <w:name w:val="Default Paragraph Font"/>
    <w:qFormat/>
    <w:rPr>
      <w:rFonts w:ascii="Times New Roman" w:hAnsi="Times New Roman" w:cs="Times New Roman"/>
      <w:color w:val="000000"/>
      <w:sz w:val="22"/>
      <w:shd w:fill="FFFFFF" w:val="clear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Domylnaczcionkaakapitu"/>
    <w:rPr>
      <w:color w:val="0000FF"/>
      <w:u w:val="single"/>
    </w:rPr>
  </w:style>
  <w:style w:type="character" w:styleId="Domylnaczcionkaakapitu">
    <w:name w:val="Domyślna czcionka akapitu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WW8Num2z5">
    <w:name w:val="WW8Num2z5"/>
    <w:qFormat/>
    <w:rPr>
      <w:rFonts w:ascii="Wingdings" w:hAnsi="Wingdings" w:cs="OpenSymbol;Arial Unicode MS"/>
    </w:rPr>
  </w:style>
  <w:style w:type="character" w:styleId="WW8Num2z0">
    <w:name w:val="WW8Num2z0"/>
    <w:qFormat/>
    <w:rPr>
      <w:rFonts w:ascii="Wingdings" w:hAnsi="Wingdings" w:cs="Wingdings"/>
      <w:sz w:val="22"/>
      <w:szCs w:val="22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2">
    <w:name w:val="Caption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3">
    <w:name w:val="Caption111111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3">
    <w:name w:val="Caption11111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2">
    <w:name w:val="Caption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2">
    <w:name w:val="Caption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2">
    <w:name w:val="Caption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2">
    <w:name w:val="Caption1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2">
    <w:name w:val="Caption1111111111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2">
    <w:name w:val="Caption1111111111111111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Table1">
    <w:name w:val="Normal Table1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ableSimple1">
    <w:name w:val="Table Simple 1"/>
    <w:basedOn w:val="NormalTable"/>
    <w:qFormat/>
    <w:pPr/>
    <w:rPr>
      <w:shd w:fill="FFFFFF" w:val="clear"/>
    </w:rPr>
  </w:style>
  <w:style w:type="paragraph" w:styleId="NormalTable">
    <w:name w:val="Normal Table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" w:cs="Arial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000000"/>
      <w:kern w:val="2"/>
      <w:sz w:val="24"/>
      <w:szCs w:val="24"/>
      <w:lang w:val="pl-PL" w:eastAsia="zh-CN" w:bidi="hi-IN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Gwkalewa">
    <w:name w:val="Główka lewa"/>
    <w:basedOn w:val="Header"/>
    <w:qFormat/>
    <w:pPr>
      <w:suppressLineNumbers/>
    </w:pPr>
    <w:rPr/>
  </w:style>
  <w:style w:type="paragraph" w:styleId="NormalnyWeb">
    <w:name w:val="Normalny (Web)"/>
    <w:basedOn w:val="Normal"/>
    <w:qFormat/>
    <w:pPr>
      <w:widowControl/>
      <w:suppressAutoHyphens w:val="false"/>
      <w:spacing w:before="100" w:after="119"/>
    </w:pPr>
    <w:rPr>
      <w:rFonts w:eastAsia="Times New Roman"/>
    </w:rPr>
  </w:style>
  <w:style w:type="paragraph" w:styleId="Tekstpodstawowy3">
    <w:name w:val="Tekst podstawowy 3"/>
    <w:basedOn w:val="Normal"/>
    <w:qFormat/>
    <w:pPr>
      <w:jc w:val="center"/>
    </w:pPr>
    <w:rPr>
      <w:sz w:val="20"/>
    </w:rPr>
  </w:style>
  <w:style w:type="paragraph" w:styleId="Footer">
    <w:name w:val="footer"/>
    <w:basedOn w:val="Normal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Tekstpodstawowy31">
    <w:name w:val="Tekst podstawowy 31"/>
    <w:basedOn w:val="Normal"/>
    <w:qFormat/>
    <w:pPr>
      <w:jc w:val="center"/>
    </w:pPr>
    <w:rPr>
      <w:sz w:val="20"/>
    </w:rPr>
  </w:style>
  <w:style w:type="paragraph" w:styleId="BodyTextIndent">
    <w:name w:val="Body Text Indent"/>
    <w:basedOn w:val="Normal"/>
    <w:pPr>
      <w:ind w:firstLine="708" w:start="0" w:end="0"/>
      <w:jc w:val="both"/>
    </w:pPr>
    <w:rPr>
      <w:rFonts w:ascii="Arial" w:hAnsi="Arial" w:cs="Arial"/>
      <w:sz w:val="28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ip.boguszow-gorce.pl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129</TotalTime>
  <Application>LibreOffice/25.8.3.2$Windows_X86_64 LibreOffice_project/8ca8d55c161d602844f5428fa4b58097424e324e</Application>
  <AppVersion>15.0000</AppVersion>
  <Pages>3</Pages>
  <Words>1148</Words>
  <Characters>7295</Characters>
  <CharactersWithSpaces>8447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2026-06-16T12:22:10Z</dcterms:created>
  <dc:creator/>
  <dc:description/>
  <dc:language>pl-PL</dc:language>
  <cp:lastModifiedBy/>
  <cp:lastPrinted>2026-10-30T11:59:07Z</cp:lastPrinted>
  <dcterms:modified xsi:type="dcterms:W3CDTF">2026-10-30T12:04:52Z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